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C" w:rsidRPr="007A7F67" w:rsidRDefault="00BC2C8C" w:rsidP="00A917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0BF" w:rsidRPr="007A7F67" w:rsidRDefault="003C789C" w:rsidP="007730BF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 2020 ГОД ПО РАБОТЕ</w:t>
      </w:r>
      <w:r w:rsidR="007730BF" w:rsidRPr="007A7F67">
        <w:rPr>
          <w:rFonts w:ascii="Times New Roman" w:hAnsi="Times New Roman"/>
          <w:b/>
          <w:sz w:val="28"/>
          <w:szCs w:val="28"/>
        </w:rPr>
        <w:t xml:space="preserve"> С ОБРАЩЕНИЯМИ ГРАЖДАН</w:t>
      </w:r>
    </w:p>
    <w:p w:rsidR="007730BF" w:rsidRDefault="007730BF" w:rsidP="007730BF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</w:p>
    <w:p w:rsidR="007730BF" w:rsidRDefault="007730BF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363C9">
        <w:rPr>
          <w:rFonts w:ascii="Times New Roman" w:hAnsi="Times New Roman"/>
          <w:sz w:val="28"/>
          <w:szCs w:val="28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</w:t>
      </w:r>
      <w:r>
        <w:rPr>
          <w:rFonts w:ascii="Times New Roman" w:hAnsi="Times New Roman"/>
          <w:sz w:val="28"/>
          <w:szCs w:val="28"/>
        </w:rPr>
        <w:t>ции принципа открытости власти. Г</w:t>
      </w:r>
      <w:r w:rsidRPr="007363C9">
        <w:rPr>
          <w:rFonts w:ascii="Times New Roman" w:hAnsi="Times New Roman"/>
          <w:sz w:val="28"/>
          <w:szCs w:val="28"/>
        </w:rPr>
        <w:t xml:space="preserve">раждане не остаются безучастными </w:t>
      </w:r>
      <w:r>
        <w:rPr>
          <w:rFonts w:ascii="Times New Roman" w:hAnsi="Times New Roman"/>
          <w:sz w:val="28"/>
          <w:szCs w:val="28"/>
        </w:rPr>
        <w:t xml:space="preserve">не только к своим личным проблемам, но и </w:t>
      </w:r>
      <w:r w:rsidRPr="007363C9">
        <w:rPr>
          <w:rFonts w:ascii="Times New Roman" w:hAnsi="Times New Roman"/>
          <w:sz w:val="28"/>
          <w:szCs w:val="28"/>
        </w:rPr>
        <w:t xml:space="preserve">к жизни </w:t>
      </w:r>
      <w:r>
        <w:rPr>
          <w:rFonts w:ascii="Times New Roman" w:hAnsi="Times New Roman"/>
          <w:sz w:val="28"/>
          <w:szCs w:val="28"/>
        </w:rPr>
        <w:t xml:space="preserve">города Луги 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363C9">
        <w:rPr>
          <w:rFonts w:ascii="Times New Roman" w:hAnsi="Times New Roman"/>
          <w:sz w:val="28"/>
          <w:szCs w:val="28"/>
        </w:rPr>
        <w:t xml:space="preserve"> в целом. </w:t>
      </w:r>
    </w:p>
    <w:p w:rsidR="00BC2C8C" w:rsidRDefault="00BC2C8C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регулируются Конституцией Российской Федерации, федеральными, региональными и муниципальными правовыми актами.</w:t>
      </w:r>
    </w:p>
    <w:p w:rsidR="00BC2C8C" w:rsidRPr="007363C9" w:rsidRDefault="00BC2C8C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7730BF" w:rsidRPr="006754E3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 xml:space="preserve">За отчетный период 2020 года в администрации </w:t>
      </w:r>
      <w:proofErr w:type="spellStart"/>
      <w:r w:rsidRPr="006754E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754E3">
        <w:rPr>
          <w:rFonts w:ascii="Times New Roman" w:hAnsi="Times New Roman"/>
          <w:sz w:val="28"/>
          <w:szCs w:val="28"/>
        </w:rPr>
        <w:t xml:space="preserve"> муниципального района зарегистрировано </w:t>
      </w:r>
      <w:r w:rsidRPr="006754E3">
        <w:rPr>
          <w:rFonts w:ascii="Times New Roman" w:hAnsi="Times New Roman"/>
          <w:b/>
          <w:sz w:val="28"/>
          <w:szCs w:val="28"/>
        </w:rPr>
        <w:t>2193</w:t>
      </w:r>
      <w:r w:rsidRPr="006754E3">
        <w:rPr>
          <w:rFonts w:ascii="Times New Roman" w:hAnsi="Times New Roman"/>
          <w:sz w:val="28"/>
          <w:szCs w:val="28"/>
        </w:rPr>
        <w:t xml:space="preserve"> обращения, из них:</w:t>
      </w:r>
    </w:p>
    <w:p w:rsidR="007730BF" w:rsidRPr="006754E3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5</w:t>
      </w:r>
      <w:r w:rsidRPr="006754E3">
        <w:rPr>
          <w:rFonts w:ascii="Times New Roman" w:hAnsi="Times New Roman"/>
          <w:sz w:val="28"/>
          <w:szCs w:val="28"/>
        </w:rPr>
        <w:t>87 обращениям вынесены положительные решения и приняты меры;</w:t>
      </w:r>
    </w:p>
    <w:p w:rsidR="007730BF" w:rsidRPr="006754E3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>- 220 обращений направлены на рассмотрение в иные органы власти и подведомственные организации по принадлежности поставленного в обращении вопроса;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>- по 1252 обращениям даны разъяснения и консультации;</w:t>
      </w:r>
    </w:p>
    <w:p w:rsidR="00BC2C8C" w:rsidRDefault="007730BF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134</w:t>
      </w:r>
      <w:r w:rsidRPr="006754E3">
        <w:rPr>
          <w:rFonts w:ascii="Times New Roman" w:hAnsi="Times New Roman"/>
          <w:sz w:val="28"/>
          <w:szCs w:val="28"/>
        </w:rPr>
        <w:t xml:space="preserve"> обращениям приняты отрицательные решения.</w:t>
      </w:r>
    </w:p>
    <w:p w:rsidR="00BC2C8C" w:rsidRDefault="00BC2C8C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C8C" w:rsidRDefault="00BC2C8C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5601335</wp:posOffset>
            </wp:positionV>
            <wp:extent cx="5631180" cy="3398520"/>
            <wp:effectExtent l="19050" t="0" r="2667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C2C8C" w:rsidRDefault="00BC2C8C" w:rsidP="00905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C8C" w:rsidRDefault="00BC2C8C" w:rsidP="00905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BF" w:rsidRPr="00CC768E" w:rsidRDefault="00BC2C8C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30BF" w:rsidRPr="00CC768E">
        <w:rPr>
          <w:rFonts w:ascii="Times New Roman" w:hAnsi="Times New Roman"/>
          <w:sz w:val="28"/>
          <w:szCs w:val="28"/>
        </w:rPr>
        <w:t xml:space="preserve">По каналам поступления </w:t>
      </w:r>
      <w:r w:rsidR="007730BF">
        <w:rPr>
          <w:rFonts w:ascii="Times New Roman" w:hAnsi="Times New Roman"/>
          <w:sz w:val="28"/>
          <w:szCs w:val="28"/>
        </w:rPr>
        <w:t xml:space="preserve">- </w:t>
      </w:r>
      <w:r w:rsidR="007730BF" w:rsidRPr="00CC768E">
        <w:rPr>
          <w:rFonts w:ascii="Times New Roman" w:hAnsi="Times New Roman"/>
          <w:sz w:val="28"/>
          <w:szCs w:val="28"/>
        </w:rPr>
        <w:t>обращения ра</w:t>
      </w:r>
      <w:r>
        <w:rPr>
          <w:rFonts w:ascii="Times New Roman" w:hAnsi="Times New Roman"/>
          <w:sz w:val="28"/>
          <w:szCs w:val="28"/>
        </w:rPr>
        <w:t xml:space="preserve">спределились следующим </w:t>
      </w:r>
      <w:r w:rsidR="007730BF" w:rsidRPr="00CC768E">
        <w:rPr>
          <w:rFonts w:ascii="Times New Roman" w:hAnsi="Times New Roman"/>
          <w:sz w:val="28"/>
          <w:szCs w:val="28"/>
        </w:rPr>
        <w:t>образом: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приемная) – 1043 обращений, что на 124 обращения больше, чем в 2019 году (919 обращений</w:t>
      </w:r>
      <w:r w:rsidRPr="00CC768E">
        <w:rPr>
          <w:rFonts w:ascii="Times New Roman" w:hAnsi="Times New Roman"/>
          <w:b/>
          <w:sz w:val="28"/>
          <w:szCs w:val="28"/>
        </w:rPr>
        <w:t>);</w:t>
      </w:r>
      <w:r w:rsidRPr="00CC768E">
        <w:rPr>
          <w:rFonts w:ascii="Times New Roman" w:hAnsi="Times New Roman"/>
          <w:sz w:val="28"/>
          <w:szCs w:val="28"/>
        </w:rPr>
        <w:t xml:space="preserve"> 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lastRenderedPageBreak/>
        <w:t>- письменных обращений (личная доставка, почта) - 1111, что на 179 обращений меньше, чем в 2019 году (1290 обращений);</w:t>
      </w:r>
    </w:p>
    <w:p w:rsidR="007730BF" w:rsidRPr="00CC768E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устно (в ходе личного приема, на встречах с населением) поступило 39 обращений, что на 43 обращения меньше, чем в 2019 году (82 обращения).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2C8C" w:rsidRDefault="00BC2C8C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Pr="00047862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C8C" w:rsidRDefault="00BC2C8C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 xml:space="preserve">Необходимо отметить, что тяжелая эпидемиологическая ситуация внесла свои коррективы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F57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ыбор</w:t>
      </w:r>
      <w:r w:rsidRPr="009F57D1">
        <w:rPr>
          <w:rFonts w:ascii="Times New Roman" w:hAnsi="Times New Roman"/>
          <w:sz w:val="28"/>
          <w:szCs w:val="28"/>
        </w:rPr>
        <w:t xml:space="preserve"> возможности граждан обращаться в органы власти. Так, мы видим увеличение количества обращений в электронном виде, уменьшение письменных обращений и достаточно сильное уменьшение устных обращений по сравнению с 2019 годом. </w:t>
      </w:r>
    </w:p>
    <w:p w:rsidR="00BC2C8C" w:rsidRDefault="00BC2C8C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0BF" w:rsidRPr="009F57D1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>К сожалению, как у руководителей</w:t>
      </w:r>
      <w:r>
        <w:rPr>
          <w:rFonts w:ascii="Times New Roman" w:hAnsi="Times New Roman"/>
          <w:sz w:val="28"/>
          <w:szCs w:val="28"/>
        </w:rPr>
        <w:t>,</w:t>
      </w:r>
      <w:r w:rsidRPr="009F57D1">
        <w:rPr>
          <w:rFonts w:ascii="Times New Roman" w:hAnsi="Times New Roman"/>
          <w:sz w:val="28"/>
          <w:szCs w:val="28"/>
        </w:rPr>
        <w:t xml:space="preserve"> так и у специалистов структурных подразделений Администрации было проведено намного меньше личных приемов</w:t>
      </w:r>
      <w:r>
        <w:rPr>
          <w:rFonts w:ascii="Times New Roman" w:hAnsi="Times New Roman"/>
          <w:sz w:val="28"/>
          <w:szCs w:val="28"/>
        </w:rPr>
        <w:t xml:space="preserve">, чем </w:t>
      </w:r>
      <w:r w:rsidRPr="009F57D1">
        <w:rPr>
          <w:rFonts w:ascii="Times New Roman" w:hAnsi="Times New Roman"/>
          <w:sz w:val="28"/>
          <w:szCs w:val="28"/>
        </w:rPr>
        <w:t xml:space="preserve">запланировано. Часть личных приемов была переведена в телефонный формат,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57D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</w:t>
      </w:r>
      <w:r w:rsidRPr="009F57D1">
        <w:rPr>
          <w:rFonts w:ascii="Times New Roman" w:hAnsi="Times New Roman"/>
          <w:sz w:val="28"/>
          <w:szCs w:val="28"/>
        </w:rPr>
        <w:t xml:space="preserve"> решение которых требовало личного присутствия гражданина и носившие экстренную необходимость</w:t>
      </w:r>
      <w:r>
        <w:rPr>
          <w:rFonts w:ascii="Times New Roman" w:hAnsi="Times New Roman"/>
          <w:sz w:val="28"/>
          <w:szCs w:val="28"/>
        </w:rPr>
        <w:t>,</w:t>
      </w:r>
      <w:r w:rsidRPr="009F57D1">
        <w:rPr>
          <w:rFonts w:ascii="Times New Roman" w:hAnsi="Times New Roman"/>
          <w:sz w:val="28"/>
          <w:szCs w:val="28"/>
        </w:rPr>
        <w:t xml:space="preserve"> рассматривались по предварительной записи с условием строжайшего соблюдения санитарных норм.   </w:t>
      </w: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9053C5" w:rsidRDefault="009053C5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9053C5" w:rsidRDefault="009053C5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293762">
        <w:rPr>
          <w:sz w:val="28"/>
          <w:szCs w:val="28"/>
        </w:rPr>
        <w:t xml:space="preserve">Тематически все обращения, поступившие в адрес администрации </w:t>
      </w:r>
      <w:proofErr w:type="spellStart"/>
      <w:r w:rsidRPr="00293762">
        <w:rPr>
          <w:sz w:val="28"/>
          <w:szCs w:val="28"/>
        </w:rPr>
        <w:t>Лужского</w:t>
      </w:r>
      <w:proofErr w:type="spellEnd"/>
      <w:r w:rsidRPr="00293762">
        <w:rPr>
          <w:sz w:val="28"/>
          <w:szCs w:val="28"/>
        </w:rPr>
        <w:t xml:space="preserve"> муниципального района в 2020 году, распределились следующим образом: </w:t>
      </w:r>
    </w:p>
    <w:p w:rsidR="007730BF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7730BF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</w:p>
    <w:p w:rsidR="007730BF" w:rsidRPr="00293762" w:rsidRDefault="007730BF" w:rsidP="007730BF">
      <w:pPr>
        <w:pStyle w:val="Style4"/>
        <w:widowControl/>
        <w:spacing w:line="240" w:lineRule="auto"/>
        <w:ind w:right="142" w:firstLine="0"/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02630" cy="4541520"/>
            <wp:effectExtent l="19050" t="0" r="266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0BF" w:rsidRPr="007363C9" w:rsidRDefault="007730BF" w:rsidP="007730BF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  <w:highlight w:val="yellow"/>
        </w:rPr>
      </w:pPr>
    </w:p>
    <w:p w:rsidR="007730BF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ab/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 xml:space="preserve">- вопросы </w:t>
      </w:r>
      <w:r w:rsidRPr="002905CC">
        <w:rPr>
          <w:rFonts w:ascii="Times New Roman" w:hAnsi="Times New Roman"/>
          <w:sz w:val="28"/>
          <w:szCs w:val="28"/>
        </w:rPr>
        <w:t>жилищно-коммунального хозяйства – 42%</w:t>
      </w:r>
      <w:r w:rsidRPr="00DB7B44">
        <w:rPr>
          <w:rFonts w:ascii="Times New Roman" w:hAnsi="Times New Roman"/>
          <w:b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(925 обращений)</w:t>
      </w:r>
      <w:r w:rsidRPr="00DB7B44">
        <w:rPr>
          <w:rFonts w:ascii="Times New Roman" w:hAnsi="Times New Roman"/>
          <w:b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 xml:space="preserve">от общего количества поступивших в 2020 году обращений, среди которых преобладали вопросы по развитию и благоустройству дворовых территорий (29%) и неудовлетворительному состоянию дорог и тротуаров в городе и районе (27%). </w:t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</w:r>
      <w:r w:rsidRPr="00DB7B44">
        <w:rPr>
          <w:rFonts w:ascii="Times New Roman" w:hAnsi="Times New Roman"/>
          <w:sz w:val="28"/>
          <w:szCs w:val="28"/>
        </w:rPr>
        <w:tab/>
        <w:t>Продолжали поступать вопросы:</w:t>
      </w:r>
    </w:p>
    <w:p w:rsidR="007730BF" w:rsidRPr="00DB7B44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по электроснабжению (9,2%)</w:t>
      </w:r>
      <w:r>
        <w:rPr>
          <w:rFonts w:ascii="Times New Roman" w:hAnsi="Times New Roman"/>
          <w:sz w:val="28"/>
          <w:szCs w:val="28"/>
        </w:rPr>
        <w:t>,</w:t>
      </w:r>
      <w:r w:rsidRPr="00DB7B44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DB7B44">
        <w:rPr>
          <w:rFonts w:ascii="Times New Roman" w:hAnsi="Times New Roman"/>
          <w:sz w:val="28"/>
          <w:szCs w:val="28"/>
        </w:rPr>
        <w:t>которых</w:t>
      </w:r>
      <w:proofErr w:type="gramEnd"/>
      <w:r w:rsidRPr="00DB7B44">
        <w:rPr>
          <w:rFonts w:ascii="Times New Roman" w:hAnsi="Times New Roman"/>
          <w:sz w:val="28"/>
          <w:szCs w:val="28"/>
        </w:rPr>
        <w:t xml:space="preserve"> половина была в части уличного освещения;</w:t>
      </w:r>
    </w:p>
    <w:p w:rsidR="007730BF" w:rsidRPr="00DB7B44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по обращению с твердыми коммунальными отходами и ликвидации несанкционированных свалок (8,5%);</w:t>
      </w:r>
    </w:p>
    <w:p w:rsidR="007730BF" w:rsidRPr="00DB7B44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выросло количество вопросов по сравнению с 2019 годом в отношении содержания жилого фонда, таких обращений 10,2%;</w:t>
      </w:r>
    </w:p>
    <w:p w:rsidR="007730BF" w:rsidRPr="00DB7B44" w:rsidRDefault="007730BF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  <w:t>Остаются актуальными вопросы по регулированию численности безнадзорных животных (5,7%), от общего количества обращений в сфере ЖКХ.</w:t>
      </w:r>
    </w:p>
    <w:p w:rsidR="007730BF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Pr="006D7DBC" w:rsidRDefault="007730BF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6D7DBC">
        <w:rPr>
          <w:rFonts w:ascii="Times New Roman" w:hAnsi="Times New Roman"/>
          <w:sz w:val="28"/>
          <w:szCs w:val="28"/>
        </w:rPr>
        <w:t>Сравнительный анализ приведен в таблице:</w:t>
      </w:r>
    </w:p>
    <w:p w:rsidR="007730BF" w:rsidRPr="007363C9" w:rsidRDefault="007730BF" w:rsidP="007730BF">
      <w:pPr>
        <w:widowControl w:val="0"/>
        <w:tabs>
          <w:tab w:val="left" w:pos="786"/>
        </w:tabs>
        <w:suppressAutoHyphens/>
        <w:autoSpaceDE w:val="0"/>
        <w:spacing w:after="0" w:line="240" w:lineRule="auto"/>
        <w:ind w:left="709" w:right="142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013"/>
        <w:gridCol w:w="938"/>
        <w:gridCol w:w="938"/>
        <w:gridCol w:w="938"/>
      </w:tblGrid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38" w:type="dxa"/>
          </w:tcPr>
          <w:p w:rsidR="007730BF" w:rsidRPr="006D7DBC" w:rsidRDefault="00BE701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6D7DBC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6D7DBC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+13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Строительство, ремонт и содержание дорог и тротуаров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- 6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Санитарное состояние населенных пунктов (обращение с твердыми коммунальными отходами, ликвидация несанкционированных свалок)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- 38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+ 8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- 19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+ 48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- 19</w:t>
            </w:r>
          </w:p>
        </w:tc>
      </w:tr>
      <w:tr w:rsidR="007730BF" w:rsidRPr="006D7DBC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DBC">
              <w:rPr>
                <w:rFonts w:ascii="Times New Roman" w:hAnsi="Times New Roman"/>
                <w:sz w:val="28"/>
                <w:szCs w:val="28"/>
              </w:rPr>
              <w:t>- 9</w:t>
            </w:r>
          </w:p>
        </w:tc>
      </w:tr>
      <w:tr w:rsidR="007730BF" w:rsidRPr="007363C9" w:rsidTr="00B71171">
        <w:tc>
          <w:tcPr>
            <w:tcW w:w="6013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971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925</w:t>
            </w:r>
          </w:p>
        </w:tc>
        <w:tc>
          <w:tcPr>
            <w:tcW w:w="938" w:type="dxa"/>
          </w:tcPr>
          <w:p w:rsidR="007730BF" w:rsidRPr="006D7DBC" w:rsidRDefault="007730BF" w:rsidP="00B71171">
            <w:pPr>
              <w:widowControl w:val="0"/>
              <w:tabs>
                <w:tab w:val="left" w:pos="786"/>
              </w:tabs>
              <w:suppressAutoHyphens/>
              <w:autoSpaceDE w:val="0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7DBC">
              <w:rPr>
                <w:rFonts w:ascii="Times New Roman" w:hAnsi="Times New Roman"/>
                <w:b/>
                <w:sz w:val="28"/>
                <w:szCs w:val="28"/>
              </w:rPr>
              <w:t>- 46</w:t>
            </w:r>
          </w:p>
        </w:tc>
      </w:tr>
    </w:tbl>
    <w:p w:rsidR="007730BF" w:rsidRPr="007363C9" w:rsidRDefault="007730BF" w:rsidP="007730BF">
      <w:pPr>
        <w:tabs>
          <w:tab w:val="left" w:pos="786"/>
        </w:tabs>
        <w:suppressAutoHyphens/>
        <w:ind w:right="142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>- землепользование, градостроительство – 19%</w:t>
      </w:r>
      <w:r w:rsidRPr="00BB156E">
        <w:rPr>
          <w:rFonts w:ascii="Times New Roman" w:hAnsi="Times New Roman"/>
          <w:sz w:val="28"/>
          <w:szCs w:val="28"/>
        </w:rPr>
        <w:t xml:space="preserve"> (421 обращение) от общего количества поступивших в 2020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 </w:t>
      </w:r>
    </w:p>
    <w:p w:rsidR="007730BF" w:rsidRPr="00BB156E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>- правопорядок, безопасность – 18%</w:t>
      </w:r>
      <w:r w:rsidRPr="00BB156E">
        <w:rPr>
          <w:rFonts w:ascii="Times New Roman" w:hAnsi="Times New Roman"/>
          <w:sz w:val="28"/>
          <w:szCs w:val="28"/>
        </w:rPr>
        <w:t xml:space="preserve"> (401 обращение) от общего количества поступивших в 2020 году обращений.</w:t>
      </w:r>
      <w:r w:rsidRPr="00BB15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время. Более 80% обращений перенаправляются из ОМВД. </w:t>
      </w:r>
    </w:p>
    <w:p w:rsidR="007730BF" w:rsidRPr="00BB156E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30BF" w:rsidRPr="00BB156E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жилье – 5% </w:t>
      </w:r>
      <w:r w:rsidRPr="00BB156E">
        <w:rPr>
          <w:rFonts w:ascii="Times New Roman" w:hAnsi="Times New Roman"/>
          <w:sz w:val="28"/>
          <w:szCs w:val="28"/>
        </w:rPr>
        <w:t>(118 обращений)</w:t>
      </w:r>
      <w:r w:rsidRPr="00BB156E">
        <w:rPr>
          <w:rFonts w:ascii="Times New Roman" w:hAnsi="Times New Roman"/>
          <w:b/>
          <w:sz w:val="28"/>
          <w:szCs w:val="28"/>
        </w:rPr>
        <w:t xml:space="preserve"> </w:t>
      </w:r>
      <w:r w:rsidRPr="00BB156E">
        <w:rPr>
          <w:rFonts w:ascii="Times New Roman" w:hAnsi="Times New Roman"/>
          <w:sz w:val="28"/>
          <w:szCs w:val="28"/>
        </w:rPr>
        <w:t xml:space="preserve">от общего количества поступивших в 2020 году обращений. Прослеживается снижение количества обращений в сравнении с предыдущими годами. Обусловлено данное обстоятельство  прекращением обращений граждан об обследовании домов с целью признания </w:t>
      </w:r>
      <w:proofErr w:type="gramStart"/>
      <w:r w:rsidRPr="00BB156E">
        <w:rPr>
          <w:rFonts w:ascii="Times New Roman" w:hAnsi="Times New Roman"/>
          <w:sz w:val="28"/>
          <w:szCs w:val="28"/>
        </w:rPr>
        <w:t>аварийными</w:t>
      </w:r>
      <w:proofErr w:type="gramEnd"/>
      <w:r w:rsidRPr="00BB156E">
        <w:rPr>
          <w:rFonts w:ascii="Times New Roman" w:hAnsi="Times New Roman"/>
          <w:sz w:val="28"/>
          <w:szCs w:val="28"/>
        </w:rPr>
        <w:t>. Порядка 70% такого фонда обследовано,</w:t>
      </w:r>
      <w:r>
        <w:rPr>
          <w:rFonts w:ascii="Times New Roman" w:hAnsi="Times New Roman"/>
          <w:sz w:val="28"/>
          <w:szCs w:val="28"/>
        </w:rPr>
        <w:t xml:space="preserve"> признано </w:t>
      </w:r>
      <w:proofErr w:type="gramStart"/>
      <w:r>
        <w:rPr>
          <w:rFonts w:ascii="Times New Roman" w:hAnsi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подлежит</w:t>
      </w:r>
      <w:r w:rsidRPr="00BB156E">
        <w:rPr>
          <w:rFonts w:ascii="Times New Roman" w:hAnsi="Times New Roman"/>
          <w:sz w:val="28"/>
          <w:szCs w:val="28"/>
        </w:rPr>
        <w:t xml:space="preserve"> расселению. В основном граждане обращаются по улучшению жилищных условий, о предоставлении маневренного жилья. </w:t>
      </w:r>
    </w:p>
    <w:p w:rsidR="007730BF" w:rsidRPr="007363C9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2905CC">
        <w:rPr>
          <w:rFonts w:ascii="Times New Roman" w:hAnsi="Times New Roman"/>
          <w:b/>
          <w:sz w:val="28"/>
          <w:szCs w:val="28"/>
        </w:rPr>
        <w:tab/>
      </w:r>
      <w:r w:rsidRPr="002905CC">
        <w:rPr>
          <w:rFonts w:ascii="Times New Roman" w:hAnsi="Times New Roman"/>
          <w:b/>
          <w:sz w:val="28"/>
          <w:szCs w:val="28"/>
        </w:rPr>
        <w:tab/>
        <w:t xml:space="preserve">- транспорт и безопасность дорожного движения (БДД) – 8% </w:t>
      </w:r>
      <w:r w:rsidRPr="002905CC">
        <w:rPr>
          <w:rFonts w:ascii="Times New Roman" w:hAnsi="Times New Roman"/>
          <w:sz w:val="28"/>
          <w:szCs w:val="28"/>
        </w:rPr>
        <w:t xml:space="preserve">(165 обращений) от общего количества поступивших в 2020 году обращений. Мы видим приличный рост количества обращений граждан по данной теме. </w:t>
      </w:r>
    </w:p>
    <w:p w:rsidR="007730BF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05CC">
        <w:rPr>
          <w:rFonts w:ascii="Times New Roman" w:hAnsi="Times New Roman"/>
          <w:sz w:val="28"/>
          <w:szCs w:val="28"/>
        </w:rPr>
        <w:t xml:space="preserve">Обусловлено это обстоятельство неоднократным вводом эпидемических ограничений, что привело к изменениям графика и количества рейсов на автобусных маршрутах. Все жалобы и предложения граждан рассматривались незамедлительно, решения принимались исходя из эпидемиологической </w:t>
      </w:r>
      <w:r w:rsidRPr="002905CC">
        <w:rPr>
          <w:rFonts w:ascii="Times New Roman" w:hAnsi="Times New Roman"/>
          <w:sz w:val="28"/>
          <w:szCs w:val="28"/>
        </w:rPr>
        <w:lastRenderedPageBreak/>
        <w:t>ситуации на момент рассмотрения обращения с максимальным по возможности учетом мнения граждан.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 о</w:t>
      </w:r>
      <w:r w:rsidRPr="00B37880">
        <w:rPr>
          <w:rFonts w:ascii="Times New Roman" w:hAnsi="Times New Roman"/>
          <w:b/>
          <w:sz w:val="28"/>
          <w:szCs w:val="28"/>
        </w:rPr>
        <w:t>бразование, культура, спорт, физическая культура</w:t>
      </w:r>
      <w:r w:rsidRPr="00B37880">
        <w:rPr>
          <w:rFonts w:ascii="Times New Roman" w:hAnsi="Times New Roman"/>
          <w:sz w:val="28"/>
          <w:szCs w:val="28"/>
        </w:rPr>
        <w:t xml:space="preserve"> – </w:t>
      </w:r>
      <w:r w:rsidRPr="00B37880">
        <w:rPr>
          <w:rFonts w:ascii="Times New Roman" w:hAnsi="Times New Roman"/>
          <w:b/>
          <w:sz w:val="28"/>
          <w:szCs w:val="28"/>
        </w:rPr>
        <w:t>2%</w:t>
      </w:r>
      <w:r w:rsidRPr="00B37880">
        <w:rPr>
          <w:rFonts w:ascii="Times New Roman" w:hAnsi="Times New Roman"/>
          <w:sz w:val="28"/>
          <w:szCs w:val="28"/>
        </w:rPr>
        <w:t xml:space="preserve"> (42 обращения) от общего количества поступивших в 2020 году обращений, где заявителей, в основном, волнуют вопросы работы дошкольных и общеобразовательных учреждений в сельской местности, проведение тех или иных массовых мероприятий на территории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района.</w:t>
      </w:r>
    </w:p>
    <w:p w:rsidR="007730BF" w:rsidRPr="002905CC" w:rsidRDefault="007730BF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социальное обеспечение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Pr="00B37880">
        <w:rPr>
          <w:rFonts w:ascii="Times New Roman" w:hAnsi="Times New Roman"/>
          <w:b/>
          <w:sz w:val="28"/>
          <w:szCs w:val="28"/>
        </w:rPr>
        <w:t xml:space="preserve"> 2 %</w:t>
      </w:r>
      <w:r w:rsidRPr="00B37880">
        <w:rPr>
          <w:rFonts w:ascii="Times New Roman" w:hAnsi="Times New Roman"/>
          <w:sz w:val="28"/>
          <w:szCs w:val="28"/>
        </w:rPr>
        <w:t xml:space="preserve"> (36 обращений) от общего количества поступивших в 2020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Pr="00B37880">
        <w:rPr>
          <w:rFonts w:ascii="Times New Roman" w:hAnsi="Times New Roman"/>
          <w:sz w:val="28"/>
          <w:szCs w:val="28"/>
        </w:rPr>
        <w:t xml:space="preserve">. </w:t>
      </w:r>
    </w:p>
    <w:p w:rsidR="007730BF" w:rsidRPr="002905CC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730BF" w:rsidRPr="00B37880" w:rsidRDefault="007730BF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 xml:space="preserve">прочие вопросы – 4% </w:t>
      </w:r>
      <w:r w:rsidRPr="00B37880">
        <w:rPr>
          <w:rFonts w:ascii="Times New Roman" w:hAnsi="Times New Roman"/>
          <w:sz w:val="28"/>
          <w:szCs w:val="28"/>
        </w:rPr>
        <w:t>(85 обращений) от общего количества обращений в 2020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7730BF" w:rsidRPr="007363C9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  <w:highlight w:val="yellow"/>
        </w:rPr>
      </w:pPr>
    </w:p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  <w:highlight w:val="yellow"/>
        </w:rPr>
      </w:pPr>
    </w:p>
    <w:p w:rsidR="007730BF" w:rsidRPr="00F35D56" w:rsidRDefault="007730BF" w:rsidP="007730BF">
      <w:pPr>
        <w:pStyle w:val="a3"/>
        <w:ind w:right="-1" w:firstLine="426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35D56">
        <w:rPr>
          <w:rStyle w:val="a5"/>
          <w:rFonts w:ascii="Times New Roman" w:eastAsia="Calibri" w:hAnsi="Times New Roman"/>
          <w:sz w:val="28"/>
          <w:szCs w:val="28"/>
        </w:rPr>
        <w:t>Сравнительный анализ изменения количества обращений по тематикам представлен в таблице:</w:t>
      </w:r>
    </w:p>
    <w:p w:rsidR="007730BF" w:rsidRPr="007363C9" w:rsidRDefault="007730BF" w:rsidP="007730BF">
      <w:pPr>
        <w:pStyle w:val="a3"/>
        <w:ind w:right="-710"/>
        <w:rPr>
          <w:rStyle w:val="a5"/>
          <w:rFonts w:ascii="Times New Roman" w:eastAsia="Calibri" w:hAnsi="Times New Roman"/>
          <w:sz w:val="28"/>
          <w:szCs w:val="28"/>
          <w:highlight w:val="yellow"/>
        </w:rPr>
      </w:pPr>
    </w:p>
    <w:tbl>
      <w:tblPr>
        <w:tblStyle w:val="a7"/>
        <w:tblW w:w="9281" w:type="dxa"/>
        <w:tblLook w:val="04A0" w:firstRow="1" w:lastRow="0" w:firstColumn="1" w:lastColumn="0" w:noHBand="0" w:noVBand="1"/>
      </w:tblPr>
      <w:tblGrid>
        <w:gridCol w:w="6629"/>
        <w:gridCol w:w="884"/>
        <w:gridCol w:w="884"/>
        <w:gridCol w:w="884"/>
      </w:tblGrid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84" w:type="dxa"/>
          </w:tcPr>
          <w:p w:rsidR="007730BF" w:rsidRPr="00BA4A44" w:rsidRDefault="007730BF" w:rsidP="00B71171">
            <w:pPr>
              <w:pStyle w:val="a3"/>
              <w:ind w:left="-250" w:right="-15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BA4A44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2 2019</w:t>
            </w:r>
          </w:p>
        </w:tc>
        <w:tc>
          <w:tcPr>
            <w:tcW w:w="884" w:type="dxa"/>
          </w:tcPr>
          <w:p w:rsidR="007730BF" w:rsidRPr="00BA4A44" w:rsidRDefault="007730BF" w:rsidP="00B71171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BA4A44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84" w:type="dxa"/>
          </w:tcPr>
          <w:p w:rsidR="007730BF" w:rsidRPr="00293762" w:rsidRDefault="007730BF" w:rsidP="007730BF">
            <w:pPr>
              <w:pStyle w:val="a3"/>
              <w:ind w:left="-250" w:right="-15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+/-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971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92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-46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447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421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-26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314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401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+87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165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+107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 т.ч. расселение аварийного жилого фонда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268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118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Образование, культура, спорт и физическая культура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-40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+10</w:t>
            </w:r>
          </w:p>
        </w:tc>
      </w:tr>
      <w:tr w:rsidR="007730BF" w:rsidRPr="00293762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125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85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-40</w:t>
            </w:r>
          </w:p>
        </w:tc>
      </w:tr>
      <w:tr w:rsidR="007730BF" w:rsidRPr="007363C9" w:rsidTr="00B71171">
        <w:tc>
          <w:tcPr>
            <w:tcW w:w="6629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293762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2291</w:t>
            </w:r>
          </w:p>
        </w:tc>
        <w:tc>
          <w:tcPr>
            <w:tcW w:w="884" w:type="dxa"/>
          </w:tcPr>
          <w:p w:rsidR="007730BF" w:rsidRPr="00BA4A44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BA4A44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2193</w:t>
            </w:r>
          </w:p>
        </w:tc>
        <w:tc>
          <w:tcPr>
            <w:tcW w:w="884" w:type="dxa"/>
          </w:tcPr>
          <w:p w:rsidR="007730BF" w:rsidRPr="00293762" w:rsidRDefault="007730BF" w:rsidP="00B71171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/>
                <w:sz w:val="28"/>
                <w:szCs w:val="28"/>
              </w:rPr>
              <w:t>-98</w:t>
            </w:r>
          </w:p>
        </w:tc>
      </w:tr>
    </w:tbl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  <w:highlight w:val="yellow"/>
        </w:rPr>
      </w:pPr>
    </w:p>
    <w:p w:rsidR="007730BF" w:rsidRDefault="007730BF" w:rsidP="007730BF">
      <w:pPr>
        <w:pStyle w:val="a3"/>
        <w:ind w:right="-1"/>
        <w:jc w:val="right"/>
        <w:rPr>
          <w:rStyle w:val="a5"/>
          <w:rFonts w:ascii="Times New Roman" w:eastAsia="Calibri" w:hAnsi="Times New Roman"/>
          <w:sz w:val="27"/>
          <w:szCs w:val="27"/>
          <w:highlight w:val="yellow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897880" cy="4023360"/>
            <wp:effectExtent l="19050" t="0" r="266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30BF" w:rsidRPr="007363C9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7"/>
          <w:szCs w:val="27"/>
          <w:highlight w:val="yellow"/>
        </w:rPr>
      </w:pP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Поступившие в администрацию </w:t>
      </w:r>
      <w:proofErr w:type="spellStart"/>
      <w:r w:rsidRPr="00FB6CFD">
        <w:rPr>
          <w:rStyle w:val="a5"/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FB6CFD">
        <w:rPr>
          <w:rStyle w:val="a5"/>
          <w:rFonts w:ascii="Times New Roman" w:eastAsia="Calibri" w:hAnsi="Times New Roman"/>
          <w:sz w:val="28"/>
          <w:szCs w:val="28"/>
        </w:rPr>
        <w:t xml:space="preserve"> муниципального района в 2020 году обращения граждан, </w:t>
      </w:r>
      <w:r w:rsidRPr="00B37880">
        <w:rPr>
          <w:rStyle w:val="a5"/>
          <w:rFonts w:ascii="Times New Roman" w:eastAsia="Calibri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Default="007730BF" w:rsidP="007730BF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54090" cy="3924300"/>
            <wp:effectExtent l="19050" t="0" r="2286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 xml:space="preserve"> </w:t>
      </w: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Pr="00B37880">
        <w:rPr>
          <w:rFonts w:ascii="Times New Roman" w:hAnsi="Times New Roman"/>
          <w:sz w:val="28"/>
          <w:szCs w:val="28"/>
        </w:rPr>
        <w:t xml:space="preserve">от граждан </w:t>
      </w:r>
      <w:proofErr w:type="spellStart"/>
      <w:r w:rsidRPr="00B3788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37880">
        <w:rPr>
          <w:rFonts w:ascii="Times New Roman" w:hAnsi="Times New Roman"/>
          <w:sz w:val="28"/>
          <w:szCs w:val="28"/>
        </w:rPr>
        <w:t xml:space="preserve"> городского поселения (1502 обращения), что составляет 68,5% от</w:t>
      </w:r>
      <w:r w:rsidRPr="004920B5">
        <w:rPr>
          <w:rFonts w:ascii="Times New Roman" w:hAnsi="Times New Roman"/>
          <w:sz w:val="28"/>
          <w:szCs w:val="28"/>
        </w:rPr>
        <w:t xml:space="preserve"> общего количества обращений.</w:t>
      </w:r>
    </w:p>
    <w:p w:rsidR="007730BF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sz w:val="28"/>
          <w:szCs w:val="28"/>
        </w:rPr>
        <w:t>И в сравнении с 2019 годом</w:t>
      </w:r>
      <w:r w:rsidRPr="00FB6CFD">
        <w:rPr>
          <w:rStyle w:val="a5"/>
          <w:rFonts w:ascii="Times New Roman" w:eastAsia="Calibri" w:hAnsi="Times New Roman"/>
          <w:sz w:val="28"/>
          <w:szCs w:val="28"/>
        </w:rPr>
        <w:t>:</w:t>
      </w: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sz w:val="28"/>
          <w:szCs w:val="28"/>
          <w:highlight w:val="yellow"/>
        </w:rPr>
      </w:pPr>
    </w:p>
    <w:p w:rsidR="007730BF" w:rsidRPr="00FB6CFD" w:rsidRDefault="007730BF" w:rsidP="007730BF">
      <w:pPr>
        <w:pStyle w:val="a3"/>
        <w:ind w:right="-1" w:firstLine="708"/>
        <w:jc w:val="both"/>
        <w:rPr>
          <w:rStyle w:val="a5"/>
          <w:rFonts w:ascii="Times New Roman" w:eastAsia="Calibri" w:hAnsi="Times New Roman"/>
          <w:highlight w:val="yellow"/>
        </w:rPr>
      </w:pPr>
    </w:p>
    <w:tbl>
      <w:tblPr>
        <w:tblpPr w:leftFromText="180" w:rightFromText="180" w:vertAnchor="text" w:horzAnchor="margin" w:tblpY="37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2"/>
        <w:gridCol w:w="1701"/>
      </w:tblGrid>
      <w:tr w:rsidR="007730BF" w:rsidRPr="00FB6CFD" w:rsidTr="00B71171">
        <w:trPr>
          <w:trHeight w:val="5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Поселение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 xml:space="preserve">Количество </w:t>
            </w:r>
          </w:p>
          <w:p w:rsidR="007730BF" w:rsidRPr="00FB6CFD" w:rsidRDefault="007730BF" w:rsidP="00B71171">
            <w:pPr>
              <w:pStyle w:val="a3"/>
              <w:ind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vMerge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Лужское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1560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1502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Толмачевское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96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Заклинское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Мшинское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125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Скребловское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Осьминское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Дзержинское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Ям-</w:t>
            </w: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Тесовское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53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Володарское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Серебрянское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Торковичское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Оредежское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Волошовское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7730BF" w:rsidRPr="00FB6CFD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Ретюнское</w:t>
            </w:r>
            <w:proofErr w:type="spellEnd"/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</w:tr>
      <w:tr w:rsidR="007730BF" w:rsidRPr="007363C9" w:rsidTr="00B71171">
        <w:trPr>
          <w:trHeight w:val="114"/>
        </w:trPr>
        <w:tc>
          <w:tcPr>
            <w:tcW w:w="5920" w:type="dxa"/>
            <w:shd w:val="clear" w:color="auto" w:fill="auto"/>
            <w:vAlign w:val="center"/>
          </w:tcPr>
          <w:p w:rsidR="007730BF" w:rsidRPr="00FB6CFD" w:rsidRDefault="007730BF" w:rsidP="00B71171">
            <w:pPr>
              <w:pStyle w:val="a3"/>
              <w:ind w:right="-14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2291</w:t>
            </w:r>
          </w:p>
        </w:tc>
        <w:tc>
          <w:tcPr>
            <w:tcW w:w="1701" w:type="dxa"/>
            <w:shd w:val="clear" w:color="auto" w:fill="auto"/>
          </w:tcPr>
          <w:p w:rsidR="007730BF" w:rsidRPr="00FB6CFD" w:rsidRDefault="007730BF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2193</w:t>
            </w:r>
          </w:p>
        </w:tc>
      </w:tr>
    </w:tbl>
    <w:p w:rsidR="007730BF" w:rsidRPr="007363C9" w:rsidRDefault="007730BF" w:rsidP="007730BF">
      <w:pPr>
        <w:pStyle w:val="a3"/>
        <w:ind w:right="-142"/>
        <w:rPr>
          <w:rFonts w:ascii="Times New Roman" w:hAnsi="Times New Roman"/>
          <w:sz w:val="27"/>
          <w:szCs w:val="27"/>
          <w:highlight w:val="yellow"/>
        </w:rPr>
      </w:pPr>
    </w:p>
    <w:p w:rsidR="007730BF" w:rsidRPr="007363C9" w:rsidRDefault="007730BF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63C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194">
        <w:rPr>
          <w:rFonts w:ascii="Times New Roman" w:hAnsi="Times New Roman"/>
          <w:sz w:val="28"/>
          <w:szCs w:val="28"/>
        </w:rPr>
        <w:t xml:space="preserve">Необходимо отметить, что все </w:t>
      </w:r>
      <w:r>
        <w:rPr>
          <w:rFonts w:ascii="Times New Roman" w:hAnsi="Times New Roman"/>
          <w:sz w:val="28"/>
          <w:szCs w:val="28"/>
        </w:rPr>
        <w:t xml:space="preserve">вышеизложенное - </w:t>
      </w:r>
      <w:r w:rsidRPr="00554194">
        <w:rPr>
          <w:rFonts w:ascii="Times New Roman" w:hAnsi="Times New Roman"/>
          <w:sz w:val="28"/>
          <w:szCs w:val="28"/>
        </w:rPr>
        <w:t xml:space="preserve">не просто статистические цифры. 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194">
        <w:rPr>
          <w:rFonts w:ascii="Times New Roman" w:hAnsi="Times New Roman"/>
          <w:sz w:val="28"/>
          <w:szCs w:val="28"/>
        </w:rPr>
        <w:t xml:space="preserve">Заявления, предложения, жалобы, с которыми жители обращаются в администрацию </w:t>
      </w:r>
      <w:proofErr w:type="spellStart"/>
      <w:r w:rsidRPr="0055419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5419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554194">
        <w:rPr>
          <w:rFonts w:ascii="Times New Roman" w:hAnsi="Times New Roman"/>
          <w:sz w:val="28"/>
          <w:szCs w:val="28"/>
        </w:rPr>
        <w:t xml:space="preserve"> </w:t>
      </w:r>
      <w:r w:rsidRPr="00D62042">
        <w:rPr>
          <w:rFonts w:ascii="Times New Roman" w:hAnsi="Times New Roman"/>
          <w:b/>
          <w:sz w:val="28"/>
          <w:szCs w:val="28"/>
        </w:rPr>
        <w:t>являются одним из источников информации о социально-экономическом положении дел в районе</w:t>
      </w:r>
      <w:r>
        <w:rPr>
          <w:rFonts w:ascii="Times New Roman" w:hAnsi="Times New Roman"/>
          <w:sz w:val="28"/>
          <w:szCs w:val="28"/>
        </w:rPr>
        <w:t>. Позволяю</w:t>
      </w:r>
      <w:r w:rsidRPr="007363C9">
        <w:rPr>
          <w:rFonts w:ascii="Times New Roman" w:hAnsi="Times New Roman"/>
          <w:sz w:val="28"/>
          <w:szCs w:val="28"/>
        </w:rPr>
        <w:t>т получать оперативную информацию о наиболее актуальных проб</w:t>
      </w:r>
      <w:r>
        <w:rPr>
          <w:rFonts w:ascii="Times New Roman" w:hAnsi="Times New Roman"/>
          <w:sz w:val="28"/>
          <w:szCs w:val="28"/>
        </w:rPr>
        <w:t>лемах муниципального хозяйства, о настроениях и потребностях людей.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если жители критически оценивают те или иные действия администрации, но все же обращаются к нам, уровень доверия к местной власти остается достаточно высоким. Мы понимаем ценность такого доверия, благодарим и принимаем все меры для укрепления диалога между властью и населением.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хотелось бы заострить внимание на том, что работа с обращениями граждан - это процесс, который должен контролироваться как администрацией, так и гражданином, который направил свое обращение. Повышение правовой культуры гражданина в области знаний по защите своих прав и интересов при рассмотрении обращений поможет избежать формального подхода должностного лица (к сожалению, такое иногда случается) к проработке поступивших обращений, поможет избежать направления повторных обращений или обращений в вышестоящие инстанции.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своей стороны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целью недопущения нарушений в области рассмотрения обращений граждан был разработан и утвержден муниципальным правовым актом новый Порядок </w:t>
      </w:r>
      <w:r>
        <w:rPr>
          <w:rFonts w:ascii="Times New Roman" w:hAnsi="Times New Roman"/>
          <w:sz w:val="28"/>
          <w:szCs w:val="28"/>
        </w:rPr>
        <w:lastRenderedPageBreak/>
        <w:t>работы с обращениями граждан. Данный документ достаточно жестко регламентирует действия муниципальных служащих, как простых специалистов, так и руководителей отраслевых органов при рассмотрении обращений.</w:t>
      </w:r>
      <w:r w:rsidRPr="00554194">
        <w:rPr>
          <w:rFonts w:ascii="Times New Roman" w:hAnsi="Times New Roman"/>
          <w:sz w:val="28"/>
          <w:szCs w:val="28"/>
        </w:rPr>
        <w:t xml:space="preserve"> 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контроля сроков рассмотрения обращений активно используется внедренная в 2018 году </w:t>
      </w:r>
      <w:r w:rsidRPr="00D62042">
        <w:rPr>
          <w:rFonts w:ascii="Times New Roman" w:hAnsi="Times New Roman"/>
          <w:b/>
          <w:sz w:val="28"/>
          <w:szCs w:val="28"/>
        </w:rPr>
        <w:t>Система электронного документооборота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(СЭД ЛО). Автоматическое отслеживание СЭД ЛО исполнительской дисциплины специалистов и их персональная ответственность свели практически к нулю нарушение сроков рассмотрения обращений.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все администрации поселений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так же внедрили у себя в делопроизводстве СЭД ЛО.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расширения возможностей граждан обращаться в органы власти, в том числе 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Ленинградской области внедряется Единая цифровая платформа, так называемая Платформа обратной связи (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внедряется через федеральный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30BF" w:rsidRDefault="007730B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Дорогие, уважаемые жители и гости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работает для решения насущных </w:t>
      </w:r>
      <w:proofErr w:type="gramStart"/>
      <w:r>
        <w:rPr>
          <w:rFonts w:ascii="Times New Roman" w:hAnsi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всего района, так и каждого гражданина в частности. К сожалению, финансовая слабость местных бюджетов значительно затрудняет возможности для исполнения каждого вопроса и проблемы. Однако это не означает, что надо пессимистически относиться к проблемам. Мы ждем ваши обращения, предложения для того чтобы вместе с вами определять приоритетные задачи и выполнять их. </w:t>
      </w:r>
    </w:p>
    <w:p w:rsidR="007730BF" w:rsidRPr="007363C9" w:rsidRDefault="007730BF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30BF" w:rsidRDefault="007730BF" w:rsidP="007730BF">
      <w:pPr>
        <w:jc w:val="center"/>
      </w:pPr>
      <w:r>
        <w:rPr>
          <w:noProof/>
        </w:rPr>
        <w:drawing>
          <wp:inline distT="0" distB="0" distL="0" distR="0">
            <wp:extent cx="4914900" cy="1607820"/>
            <wp:effectExtent l="19050" t="0" r="0" b="0"/>
            <wp:docPr id="6" name="Рисунок 1" descr="http://gubakhaokrug.ru/upload/medialibrary/484/obrashcheniya_grazh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akhaokrug.ru/upload/medialibrary/484/obrashcheniya_grazhd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CF" w:rsidRDefault="00DA7CCF" w:rsidP="007730B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11652" w:rsidRDefault="00811652" w:rsidP="001F089A">
      <w:pPr>
        <w:spacing w:after="0" w:line="240" w:lineRule="auto"/>
        <w:jc w:val="both"/>
      </w:pPr>
      <w:bookmarkStart w:id="0" w:name="_GoBack"/>
      <w:bookmarkEnd w:id="0"/>
    </w:p>
    <w:sectPr w:rsidR="00811652" w:rsidSect="00BC2C8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44DD9"/>
    <w:rsid w:val="000A1B37"/>
    <w:rsid w:val="001525F2"/>
    <w:rsid w:val="001E6D7F"/>
    <w:rsid w:val="001F089A"/>
    <w:rsid w:val="001F44CC"/>
    <w:rsid w:val="0024523D"/>
    <w:rsid w:val="002F2590"/>
    <w:rsid w:val="00351929"/>
    <w:rsid w:val="00361BFE"/>
    <w:rsid w:val="00361C92"/>
    <w:rsid w:val="00383ABF"/>
    <w:rsid w:val="003C789C"/>
    <w:rsid w:val="003F1E73"/>
    <w:rsid w:val="00437188"/>
    <w:rsid w:val="00450DC5"/>
    <w:rsid w:val="00496FD5"/>
    <w:rsid w:val="004D61C0"/>
    <w:rsid w:val="00517957"/>
    <w:rsid w:val="00561C62"/>
    <w:rsid w:val="00564874"/>
    <w:rsid w:val="005F5D87"/>
    <w:rsid w:val="006237B3"/>
    <w:rsid w:val="00676BD8"/>
    <w:rsid w:val="00703070"/>
    <w:rsid w:val="00753787"/>
    <w:rsid w:val="007730BF"/>
    <w:rsid w:val="00811652"/>
    <w:rsid w:val="008627B6"/>
    <w:rsid w:val="00884477"/>
    <w:rsid w:val="00892695"/>
    <w:rsid w:val="008B5EBF"/>
    <w:rsid w:val="009053C5"/>
    <w:rsid w:val="0095224C"/>
    <w:rsid w:val="00953C85"/>
    <w:rsid w:val="0098350D"/>
    <w:rsid w:val="009961C1"/>
    <w:rsid w:val="009A1B41"/>
    <w:rsid w:val="009D18A5"/>
    <w:rsid w:val="00A020AC"/>
    <w:rsid w:val="00A3107A"/>
    <w:rsid w:val="00A3323F"/>
    <w:rsid w:val="00A91789"/>
    <w:rsid w:val="00AA16A0"/>
    <w:rsid w:val="00AA53CE"/>
    <w:rsid w:val="00AB4916"/>
    <w:rsid w:val="00B220B8"/>
    <w:rsid w:val="00B35D3F"/>
    <w:rsid w:val="00B45301"/>
    <w:rsid w:val="00B56AC7"/>
    <w:rsid w:val="00B60CA9"/>
    <w:rsid w:val="00B71171"/>
    <w:rsid w:val="00B86B8F"/>
    <w:rsid w:val="00BC2C8C"/>
    <w:rsid w:val="00BE701F"/>
    <w:rsid w:val="00C055E7"/>
    <w:rsid w:val="00C11636"/>
    <w:rsid w:val="00C67AFD"/>
    <w:rsid w:val="00CC1AA1"/>
    <w:rsid w:val="00D04C3D"/>
    <w:rsid w:val="00D4641F"/>
    <w:rsid w:val="00DA174E"/>
    <w:rsid w:val="00DA469B"/>
    <w:rsid w:val="00DA7CCF"/>
    <w:rsid w:val="00DC0C32"/>
    <w:rsid w:val="00DD4640"/>
    <w:rsid w:val="00E0193E"/>
    <w:rsid w:val="00E4548C"/>
    <w:rsid w:val="00E527B2"/>
    <w:rsid w:val="00E53F5E"/>
    <w:rsid w:val="00ED35C8"/>
    <w:rsid w:val="00F16D51"/>
    <w:rsid w:val="00F8362D"/>
    <w:rsid w:val="00F86AD0"/>
    <w:rsid w:val="00FD5E09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Результаты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рассмотрения обращений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принято положительное решение</c:v>
                </c:pt>
                <c:pt idx="1">
                  <c:v>направлено по принадлежности</c:v>
                </c:pt>
                <c:pt idx="2">
                  <c:v>разъяснено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587</c:v>
                </c:pt>
                <c:pt idx="1">
                  <c:v>220</c:v>
                </c:pt>
                <c:pt idx="2">
                  <c:v>1252</c:v>
                </c:pt>
                <c:pt idx="3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Каналы поступления обращений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1111</c:v>
                </c:pt>
                <c:pt idx="1">
                  <c:v>1043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письменные обращения</c:v>
                </c:pt>
                <c:pt idx="1">
                  <c:v>электронная связь</c:v>
                </c:pt>
                <c:pt idx="2">
                  <c:v>устные обращения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1290</c:v>
                </c:pt>
                <c:pt idx="1">
                  <c:v>919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911232"/>
        <c:axId val="81292096"/>
        <c:axId val="0"/>
      </c:bar3DChart>
      <c:catAx>
        <c:axId val="66911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1292096"/>
        <c:crosses val="autoZero"/>
        <c:auto val="1"/>
        <c:lblAlgn val="ctr"/>
        <c:lblOffset val="100"/>
        <c:noMultiLvlLbl val="0"/>
      </c:catAx>
      <c:valAx>
        <c:axId val="81292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9112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Тематики обращений</c:v>
                </c:pt>
              </c:strCache>
            </c:strRef>
          </c:tx>
          <c:explosion val="8"/>
          <c:dLbls>
            <c:dLbl>
              <c:idx val="5"/>
              <c:layout>
                <c:manualLayout>
                  <c:x val="-1.9697964543663821E-2"/>
                  <c:y val="-5.0335570469798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1886627270737602E-3"/>
                  <c:y val="-4.753914988814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жилищно-коммунальное хозяйство</c:v>
                </c:pt>
                <c:pt idx="1">
                  <c:v>землепользование, градостроительство</c:v>
                </c:pt>
                <c:pt idx="2">
                  <c:v>обеспечение законности и правопорядка</c:v>
                </c:pt>
                <c:pt idx="3">
                  <c:v>жилье</c:v>
                </c:pt>
                <c:pt idx="4">
                  <c:v>транспорт и БДД</c:v>
                </c:pt>
                <c:pt idx="5">
                  <c:v>образование, культура, спорт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925</c:v>
                </c:pt>
                <c:pt idx="1">
                  <c:v>421</c:v>
                </c:pt>
                <c:pt idx="2">
                  <c:v>401</c:v>
                </c:pt>
                <c:pt idx="3">
                  <c:v>118</c:v>
                </c:pt>
                <c:pt idx="4">
                  <c:v>165</c:v>
                </c:pt>
                <c:pt idx="5">
                  <c:v>42</c:v>
                </c:pt>
                <c:pt idx="6">
                  <c:v>36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Сравнительный анализ тематики вопросов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925</c:v>
                </c:pt>
                <c:pt idx="1">
                  <c:v>421</c:v>
                </c:pt>
                <c:pt idx="2">
                  <c:v>401</c:v>
                </c:pt>
                <c:pt idx="3">
                  <c:v>165</c:v>
                </c:pt>
                <c:pt idx="4">
                  <c:v>118</c:v>
                </c:pt>
                <c:pt idx="5">
                  <c:v>42</c:v>
                </c:pt>
                <c:pt idx="6">
                  <c:v>36</c:v>
                </c:pt>
                <c:pt idx="7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Землепользование</c:v>
                </c:pt>
                <c:pt idx="2">
                  <c:v>Правопорядок</c:v>
                </c:pt>
                <c:pt idx="3">
                  <c:v>Транспорт и БДД</c:v>
                </c:pt>
                <c:pt idx="4">
                  <c:v>Жилье</c:v>
                </c:pt>
                <c:pt idx="5">
                  <c:v>Образование, спорт, культура</c:v>
                </c:pt>
                <c:pt idx="6">
                  <c:v>Социальное обеспечение</c:v>
                </c:pt>
                <c:pt idx="7">
                  <c:v>Прочие вопросы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971</c:v>
                </c:pt>
                <c:pt idx="1">
                  <c:v>447</c:v>
                </c:pt>
                <c:pt idx="2">
                  <c:v>314</c:v>
                </c:pt>
                <c:pt idx="3">
                  <c:v>58</c:v>
                </c:pt>
                <c:pt idx="4">
                  <c:v>268</c:v>
                </c:pt>
                <c:pt idx="5">
                  <c:v>82</c:v>
                </c:pt>
                <c:pt idx="6">
                  <c:v>26</c:v>
                </c:pt>
                <c:pt idx="7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908672"/>
        <c:axId val="81294976"/>
        <c:axId val="81140224"/>
      </c:bar3DChart>
      <c:catAx>
        <c:axId val="66908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1294976"/>
        <c:crosses val="autoZero"/>
        <c:auto val="1"/>
        <c:lblAlgn val="ctr"/>
        <c:lblOffset val="100"/>
        <c:noMultiLvlLbl val="0"/>
      </c:catAx>
      <c:valAx>
        <c:axId val="8129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6908672"/>
        <c:crosses val="autoZero"/>
        <c:crossBetween val="between"/>
      </c:valAx>
      <c:serAx>
        <c:axId val="81140224"/>
        <c:scaling>
          <c:orientation val="minMax"/>
        </c:scaling>
        <c:delete val="1"/>
        <c:axPos val="b"/>
        <c:majorTickMark val="out"/>
        <c:minorTickMark val="none"/>
        <c:tickLblPos val="none"/>
        <c:crossAx val="81294976"/>
        <c:crosses val="autoZero"/>
      </c:serAx>
    </c:plotArea>
    <c:legend>
      <c:legendPos val="r"/>
      <c:overlay val="0"/>
      <c:txPr>
        <a:bodyPr/>
        <a:lstStyle/>
        <a:p>
          <a:pPr algn="just"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Обращения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граждан </a:t>
            </a:r>
          </a:p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по территориальной принадлежности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Поселения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Лужское городское</c:v>
                </c:pt>
                <c:pt idx="1">
                  <c:v>Толмачевское</c:v>
                </c:pt>
                <c:pt idx="2">
                  <c:v>Заклинское</c:v>
                </c:pt>
                <c:pt idx="3">
                  <c:v>Мшинское</c:v>
                </c:pt>
                <c:pt idx="4">
                  <c:v>Скребловское</c:v>
                </c:pt>
                <c:pt idx="5">
                  <c:v>Осьминское</c:v>
                </c:pt>
                <c:pt idx="6">
                  <c:v>Дзержинское</c:v>
                </c:pt>
                <c:pt idx="7">
                  <c:v>Ям-Тесовское</c:v>
                </c:pt>
                <c:pt idx="8">
                  <c:v>Володарское</c:v>
                </c:pt>
                <c:pt idx="9">
                  <c:v>Серебрянское</c:v>
                </c:pt>
                <c:pt idx="10">
                  <c:v>Торковичское</c:v>
                </c:pt>
                <c:pt idx="11">
                  <c:v>Оредежское</c:v>
                </c:pt>
                <c:pt idx="12">
                  <c:v>Волошовское</c:v>
                </c:pt>
                <c:pt idx="13">
                  <c:v>Ретюнское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1502</c:v>
                </c:pt>
                <c:pt idx="1">
                  <c:v>96</c:v>
                </c:pt>
                <c:pt idx="2">
                  <c:v>89</c:v>
                </c:pt>
                <c:pt idx="3">
                  <c:v>125</c:v>
                </c:pt>
                <c:pt idx="4">
                  <c:v>64</c:v>
                </c:pt>
                <c:pt idx="5">
                  <c:v>51</c:v>
                </c:pt>
                <c:pt idx="6">
                  <c:v>48</c:v>
                </c:pt>
                <c:pt idx="7">
                  <c:v>53</c:v>
                </c:pt>
                <c:pt idx="8">
                  <c:v>23</c:v>
                </c:pt>
                <c:pt idx="9">
                  <c:v>22</c:v>
                </c:pt>
                <c:pt idx="10">
                  <c:v>25</c:v>
                </c:pt>
                <c:pt idx="11">
                  <c:v>46</c:v>
                </c:pt>
                <c:pt idx="12">
                  <c:v>28</c:v>
                </c:pt>
                <c:pt idx="13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6120192"/>
        <c:axId val="81295552"/>
        <c:axId val="66592768"/>
      </c:bar3DChart>
      <c:catAx>
        <c:axId val="106120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  <c:crossAx val="81295552"/>
        <c:crosses val="autoZero"/>
        <c:auto val="1"/>
        <c:lblAlgn val="ctr"/>
        <c:lblOffset val="100"/>
        <c:noMultiLvlLbl val="0"/>
      </c:catAx>
      <c:valAx>
        <c:axId val="81295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6120192"/>
        <c:crosses val="autoZero"/>
        <c:crossBetween val="between"/>
      </c:valAx>
      <c:serAx>
        <c:axId val="66592768"/>
        <c:scaling>
          <c:orientation val="minMax"/>
        </c:scaling>
        <c:delete val="1"/>
        <c:axPos val="b"/>
        <c:majorTickMark val="out"/>
        <c:minorTickMark val="none"/>
        <c:tickLblPos val="none"/>
        <c:crossAx val="81295552"/>
        <c:crosses val="autoZero"/>
      </c:serAx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33</cp:revision>
  <cp:lastPrinted>2021-01-14T11:35:00Z</cp:lastPrinted>
  <dcterms:created xsi:type="dcterms:W3CDTF">2017-01-25T10:44:00Z</dcterms:created>
  <dcterms:modified xsi:type="dcterms:W3CDTF">2021-03-05T11:41:00Z</dcterms:modified>
</cp:coreProperties>
</file>