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3" w:rsidRPr="008D28CD" w:rsidRDefault="00C01E77" w:rsidP="008D28CD">
      <w:pPr>
        <w:pStyle w:val="Style1"/>
        <w:widowControl/>
        <w:spacing w:line="274" w:lineRule="exact"/>
        <w:ind w:left="408"/>
        <w:jc w:val="center"/>
        <w:rPr>
          <w:rStyle w:val="FontStyle11"/>
          <w:sz w:val="24"/>
          <w:szCs w:val="24"/>
        </w:rPr>
      </w:pPr>
      <w:r w:rsidRPr="008D28CD">
        <w:rPr>
          <w:rStyle w:val="FontStyle11"/>
          <w:sz w:val="24"/>
          <w:szCs w:val="24"/>
        </w:rPr>
        <w:t>ОТЧЕТ</w:t>
      </w:r>
    </w:p>
    <w:p w:rsidR="00087893" w:rsidRPr="008D28CD" w:rsidRDefault="003339AB" w:rsidP="008D28CD">
      <w:pPr>
        <w:pStyle w:val="Style2"/>
        <w:widowControl/>
        <w:spacing w:line="274" w:lineRule="exact"/>
        <w:ind w:left="73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="00C01E77" w:rsidRPr="008D28CD">
        <w:rPr>
          <w:rStyle w:val="FontStyle11"/>
          <w:sz w:val="24"/>
          <w:szCs w:val="24"/>
        </w:rPr>
        <w:t xml:space="preserve"> ходе достижения целевых показателей, содержащихся в Указах Президента Российской Федерации от 7 мая 2012 года № 596-606</w:t>
      </w:r>
    </w:p>
    <w:p w:rsidR="00087893" w:rsidRDefault="00C01E77" w:rsidP="008D28CD">
      <w:pPr>
        <w:pStyle w:val="Style3"/>
        <w:widowControl/>
        <w:spacing w:line="274" w:lineRule="exact"/>
        <w:ind w:left="413"/>
        <w:jc w:val="center"/>
        <w:rPr>
          <w:rStyle w:val="FontStyle11"/>
        </w:rPr>
      </w:pPr>
      <w:r w:rsidRPr="008D28CD">
        <w:rPr>
          <w:rStyle w:val="FontStyle11"/>
          <w:sz w:val="24"/>
          <w:szCs w:val="24"/>
        </w:rPr>
        <w:t xml:space="preserve">в Лужском Муниципальном районе Ленинградской области на 01 </w:t>
      </w:r>
      <w:r w:rsidR="008013C1">
        <w:rPr>
          <w:rStyle w:val="FontStyle11"/>
          <w:sz w:val="24"/>
          <w:szCs w:val="24"/>
        </w:rPr>
        <w:t>января</w:t>
      </w:r>
      <w:r w:rsidR="00DF1697">
        <w:rPr>
          <w:rStyle w:val="FontStyle11"/>
          <w:sz w:val="24"/>
          <w:szCs w:val="24"/>
        </w:rPr>
        <w:t xml:space="preserve"> </w:t>
      </w:r>
      <w:r w:rsidRPr="008D28CD">
        <w:rPr>
          <w:rStyle w:val="FontStyle11"/>
          <w:sz w:val="24"/>
          <w:szCs w:val="24"/>
        </w:rPr>
        <w:t>201</w:t>
      </w:r>
      <w:r w:rsidR="008013C1">
        <w:rPr>
          <w:rStyle w:val="FontStyle11"/>
          <w:sz w:val="24"/>
          <w:szCs w:val="24"/>
        </w:rPr>
        <w:t>9</w:t>
      </w:r>
      <w:r w:rsidRPr="008D28CD">
        <w:rPr>
          <w:rStyle w:val="FontStyle11"/>
          <w:sz w:val="24"/>
          <w:szCs w:val="24"/>
        </w:rPr>
        <w:t xml:space="preserve"> года</w:t>
      </w:r>
    </w:p>
    <w:p w:rsidR="00087893" w:rsidRDefault="00087893">
      <w:pPr>
        <w:widowControl/>
        <w:spacing w:after="254" w:line="1" w:lineRule="exact"/>
        <w:rPr>
          <w:sz w:val="2"/>
          <w:szCs w:val="2"/>
        </w:rPr>
      </w:pP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25"/>
        <w:gridCol w:w="1418"/>
        <w:gridCol w:w="1134"/>
        <w:gridCol w:w="2126"/>
        <w:gridCol w:w="1134"/>
        <w:gridCol w:w="1134"/>
        <w:gridCol w:w="1134"/>
        <w:gridCol w:w="1276"/>
        <w:gridCol w:w="992"/>
        <w:gridCol w:w="992"/>
        <w:gridCol w:w="1559"/>
      </w:tblGrid>
      <w:tr w:rsidR="0017144F" w:rsidRPr="0017144F" w:rsidTr="00656009">
        <w:trPr>
          <w:trHeight w:val="607"/>
        </w:trPr>
        <w:tc>
          <w:tcPr>
            <w:tcW w:w="552" w:type="dxa"/>
            <w:vMerge w:val="restart"/>
          </w:tcPr>
          <w:p w:rsidR="0017144F" w:rsidRPr="0017144F" w:rsidRDefault="0017144F" w:rsidP="00E45C5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17144F">
              <w:rPr>
                <w:rStyle w:val="FontStyle12"/>
                <w:sz w:val="20"/>
                <w:szCs w:val="20"/>
              </w:rPr>
              <w:t>№</w:t>
            </w:r>
          </w:p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2"/>
                <w:sz w:val="20"/>
                <w:szCs w:val="20"/>
              </w:rPr>
            </w:pPr>
            <w:proofErr w:type="spellStart"/>
            <w:proofErr w:type="gram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  <w:proofErr w:type="gramEnd"/>
            <w:r w:rsidRPr="0017144F">
              <w:rPr>
                <w:rStyle w:val="FontStyle13"/>
                <w:sz w:val="20"/>
                <w:szCs w:val="20"/>
              </w:rPr>
              <w:t>/</w:t>
            </w:r>
            <w:proofErr w:type="spell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ind w:left="350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Наименование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Периодичность</w:t>
            </w:r>
            <w:r w:rsidR="00C56380">
              <w:rPr>
                <w:rStyle w:val="FontStyle13"/>
                <w:sz w:val="20"/>
                <w:szCs w:val="20"/>
              </w:rPr>
              <w:t xml:space="preserve"> р</w:t>
            </w:r>
            <w:r w:rsidRPr="0017144F">
              <w:rPr>
                <w:rStyle w:val="FontStyle13"/>
                <w:sz w:val="20"/>
                <w:szCs w:val="20"/>
              </w:rPr>
              <w:t>азработки статистических данных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Орган исполнительной власти Ленинградской области, ответственный за мониторинг достижения целевых показателей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Базовое (стартовое) значение целевых показателей на 1 января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2012 года</w:t>
            </w:r>
          </w:p>
        </w:tc>
        <w:tc>
          <w:tcPr>
            <w:tcW w:w="3544" w:type="dxa"/>
            <w:gridSpan w:val="3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Плановое значение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показателя,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установленное на 2018 год</w:t>
            </w:r>
          </w:p>
        </w:tc>
        <w:tc>
          <w:tcPr>
            <w:tcW w:w="992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Фактически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достигнутое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за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полугодие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Отклонение 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планового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(от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графы 9)</w:t>
            </w:r>
          </w:p>
        </w:tc>
        <w:tc>
          <w:tcPr>
            <w:tcW w:w="1559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Примечания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(причины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отклонения)</w:t>
            </w:r>
          </w:p>
        </w:tc>
      </w:tr>
      <w:tr w:rsidR="0017144F" w:rsidRPr="0017144F" w:rsidTr="00656009">
        <w:trPr>
          <w:trHeight w:val="1200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ind w:left="211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D040FC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Указами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президента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Ленинградской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144F" w:rsidRPr="0017144F" w:rsidRDefault="0017144F" w:rsidP="00C56380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 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Лужского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  <w:lang w:val="en-US" w:eastAsia="en-US"/>
              </w:rPr>
              <w:t>MP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C56380" w:rsidTr="00656009">
        <w:tc>
          <w:tcPr>
            <w:tcW w:w="55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3339AB" w:rsidRPr="00C56380" w:rsidRDefault="003339AB" w:rsidP="00C56380">
            <w:pPr>
              <w:pStyle w:val="Style6"/>
              <w:widowControl/>
              <w:ind w:left="92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ind w:left="20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339AB" w:rsidRPr="00C56380" w:rsidRDefault="003339AB" w:rsidP="00C56380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56380">
              <w:rPr>
                <w:rStyle w:val="FontStyle11"/>
                <w:sz w:val="20"/>
                <w:szCs w:val="20"/>
              </w:rPr>
              <w:t>12</w:t>
            </w:r>
          </w:p>
        </w:tc>
      </w:tr>
      <w:tr w:rsidR="0017144F" w:rsidRPr="00807E6B" w:rsidTr="00656009">
        <w:trPr>
          <w:trHeight w:val="1531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муниципальном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районе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C56380" w:rsidP="00C56380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="0017144F" w:rsidRPr="00807E6B">
              <w:rPr>
                <w:rStyle w:val="FontStyle13"/>
                <w:sz w:val="24"/>
                <w:szCs w:val="24"/>
              </w:rPr>
              <w:t>вартальная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</w:t>
            </w:r>
            <w:r>
              <w:rPr>
                <w:rStyle w:val="FontStyle13"/>
                <w:sz w:val="24"/>
                <w:szCs w:val="24"/>
              </w:rPr>
              <w:t>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144F" w:rsidRPr="00807E6B" w:rsidRDefault="0017144F" w:rsidP="008013C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8013C1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>,</w:t>
            </w:r>
            <w:r w:rsidR="00656009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7144F" w:rsidRPr="00807E6B" w:rsidRDefault="0017144F" w:rsidP="008013C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+ </w:t>
            </w:r>
            <w:r w:rsidR="008013C1">
              <w:rPr>
                <w:rStyle w:val="FontStyle13"/>
                <w:sz w:val="24"/>
                <w:szCs w:val="24"/>
              </w:rPr>
              <w:t>0</w:t>
            </w:r>
            <w:r w:rsidR="00656009">
              <w:rPr>
                <w:rStyle w:val="FontStyle13"/>
                <w:sz w:val="24"/>
                <w:szCs w:val="24"/>
              </w:rPr>
              <w:t>,0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656009" w:rsidRPr="00656009" w:rsidRDefault="00656009" w:rsidP="0065600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7144F" w:rsidRPr="00807E6B" w:rsidTr="00656009">
        <w:trPr>
          <w:trHeight w:val="2458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 городском поселении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Pr="00807E6B">
              <w:rPr>
                <w:rStyle w:val="FontStyle13"/>
                <w:sz w:val="24"/>
                <w:szCs w:val="24"/>
              </w:rPr>
              <w:t>вартальна</w:t>
            </w:r>
            <w:r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144F" w:rsidRPr="00807E6B" w:rsidRDefault="0017144F" w:rsidP="008013C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8013C1">
              <w:rPr>
                <w:rStyle w:val="FontStyle13"/>
                <w:sz w:val="24"/>
                <w:szCs w:val="24"/>
              </w:rPr>
              <w:t>3</w:t>
            </w:r>
            <w:r w:rsidR="00656009">
              <w:rPr>
                <w:rStyle w:val="FontStyle13"/>
                <w:sz w:val="24"/>
                <w:szCs w:val="24"/>
              </w:rPr>
              <w:t>,</w:t>
            </w:r>
            <w:r w:rsidR="008013C1">
              <w:rPr>
                <w:rStyle w:val="FontStyle13"/>
                <w:sz w:val="24"/>
                <w:szCs w:val="24"/>
              </w:rPr>
              <w:t>5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17144F" w:rsidRPr="00807E6B" w:rsidRDefault="0017144F" w:rsidP="008013C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+</w:t>
            </w:r>
            <w:r w:rsidR="008013C1">
              <w:rPr>
                <w:rStyle w:val="FontStyle13"/>
                <w:sz w:val="24"/>
                <w:szCs w:val="24"/>
              </w:rPr>
              <w:t>3</w:t>
            </w:r>
            <w:r w:rsidR="00656009">
              <w:rPr>
                <w:rStyle w:val="FontStyle13"/>
                <w:sz w:val="24"/>
                <w:szCs w:val="24"/>
              </w:rPr>
              <w:t>,</w:t>
            </w:r>
            <w:r w:rsidR="008013C1">
              <w:rPr>
                <w:rStyle w:val="FontStyle13"/>
                <w:sz w:val="24"/>
                <w:szCs w:val="24"/>
              </w:rPr>
              <w:t>5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17144F" w:rsidRPr="0092196E" w:rsidRDefault="0017144F" w:rsidP="00656009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E45C53" w:rsidRDefault="00656009">
      <w:r>
        <w:rPr>
          <w:sz w:val="18"/>
          <w:szCs w:val="18"/>
        </w:rPr>
        <w:t>И</w:t>
      </w:r>
      <w:r w:rsidR="00E45C53">
        <w:rPr>
          <w:sz w:val="18"/>
          <w:szCs w:val="18"/>
        </w:rPr>
        <w:t>сполнитель Новожилова П.А. 8(81372)2-3</w:t>
      </w:r>
      <w:r w:rsidR="00DF1697">
        <w:rPr>
          <w:sz w:val="18"/>
          <w:szCs w:val="18"/>
        </w:rPr>
        <w:t>4</w:t>
      </w:r>
      <w:r w:rsidR="00E45C53">
        <w:rPr>
          <w:sz w:val="18"/>
          <w:szCs w:val="18"/>
        </w:rPr>
        <w:t>-</w:t>
      </w:r>
      <w:r w:rsidR="00DF1697">
        <w:rPr>
          <w:sz w:val="18"/>
          <w:szCs w:val="18"/>
        </w:rPr>
        <w:t>5</w:t>
      </w:r>
      <w:r w:rsidR="00E45C53">
        <w:rPr>
          <w:sz w:val="18"/>
          <w:szCs w:val="18"/>
        </w:rPr>
        <w:t>4</w:t>
      </w:r>
    </w:p>
    <w:sectPr w:rsidR="00E45C53" w:rsidSect="00064ACC">
      <w:type w:val="continuous"/>
      <w:pgSz w:w="16840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0C" w:rsidRDefault="00632D0C">
      <w:r>
        <w:separator/>
      </w:r>
    </w:p>
  </w:endnote>
  <w:endnote w:type="continuationSeparator" w:id="0">
    <w:p w:rsidR="00632D0C" w:rsidRDefault="0063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0C" w:rsidRDefault="00632D0C">
      <w:r>
        <w:separator/>
      </w:r>
    </w:p>
  </w:footnote>
  <w:footnote w:type="continuationSeparator" w:id="0">
    <w:p w:rsidR="00632D0C" w:rsidRDefault="00632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7E6B"/>
    <w:rsid w:val="00001679"/>
    <w:rsid w:val="00064ACC"/>
    <w:rsid w:val="00087893"/>
    <w:rsid w:val="00105B53"/>
    <w:rsid w:val="00162E2F"/>
    <w:rsid w:val="0017144F"/>
    <w:rsid w:val="002E27A6"/>
    <w:rsid w:val="003339AB"/>
    <w:rsid w:val="003664D0"/>
    <w:rsid w:val="003A453F"/>
    <w:rsid w:val="003D5811"/>
    <w:rsid w:val="00443933"/>
    <w:rsid w:val="004B3DB8"/>
    <w:rsid w:val="00501256"/>
    <w:rsid w:val="00520A08"/>
    <w:rsid w:val="00597E06"/>
    <w:rsid w:val="005B5D14"/>
    <w:rsid w:val="005F686E"/>
    <w:rsid w:val="00632D0C"/>
    <w:rsid w:val="00656009"/>
    <w:rsid w:val="007B325D"/>
    <w:rsid w:val="008013C1"/>
    <w:rsid w:val="00807E6B"/>
    <w:rsid w:val="00851202"/>
    <w:rsid w:val="008513D6"/>
    <w:rsid w:val="008B7656"/>
    <w:rsid w:val="008D28CD"/>
    <w:rsid w:val="008E724D"/>
    <w:rsid w:val="0092196E"/>
    <w:rsid w:val="009226A5"/>
    <w:rsid w:val="00AB7C6D"/>
    <w:rsid w:val="00B63565"/>
    <w:rsid w:val="00C01E77"/>
    <w:rsid w:val="00C15E40"/>
    <w:rsid w:val="00C56380"/>
    <w:rsid w:val="00D040FC"/>
    <w:rsid w:val="00DF1697"/>
    <w:rsid w:val="00E45C53"/>
    <w:rsid w:val="00F23780"/>
    <w:rsid w:val="00F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7893"/>
  </w:style>
  <w:style w:type="paragraph" w:customStyle="1" w:styleId="Style2">
    <w:name w:val="Style2"/>
    <w:basedOn w:val="a"/>
    <w:uiPriority w:val="99"/>
    <w:rsid w:val="00087893"/>
  </w:style>
  <w:style w:type="paragraph" w:customStyle="1" w:styleId="Style3">
    <w:name w:val="Style3"/>
    <w:basedOn w:val="a"/>
    <w:uiPriority w:val="99"/>
    <w:rsid w:val="00087893"/>
  </w:style>
  <w:style w:type="paragraph" w:customStyle="1" w:styleId="Style4">
    <w:name w:val="Style4"/>
    <w:basedOn w:val="a"/>
    <w:uiPriority w:val="99"/>
    <w:rsid w:val="00087893"/>
  </w:style>
  <w:style w:type="paragraph" w:customStyle="1" w:styleId="Style5">
    <w:name w:val="Style5"/>
    <w:basedOn w:val="a"/>
    <w:uiPriority w:val="99"/>
    <w:rsid w:val="00087893"/>
  </w:style>
  <w:style w:type="paragraph" w:customStyle="1" w:styleId="Style6">
    <w:name w:val="Style6"/>
    <w:basedOn w:val="a"/>
    <w:uiPriority w:val="99"/>
    <w:rsid w:val="00087893"/>
  </w:style>
  <w:style w:type="paragraph" w:customStyle="1" w:styleId="Style7">
    <w:name w:val="Style7"/>
    <w:basedOn w:val="a"/>
    <w:uiPriority w:val="99"/>
    <w:rsid w:val="00087893"/>
  </w:style>
  <w:style w:type="paragraph" w:customStyle="1" w:styleId="Style8">
    <w:name w:val="Style8"/>
    <w:basedOn w:val="a"/>
    <w:uiPriority w:val="99"/>
    <w:rsid w:val="00087893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87893"/>
    <w:pPr>
      <w:spacing w:line="228" w:lineRule="exact"/>
    </w:pPr>
  </w:style>
  <w:style w:type="character" w:customStyle="1" w:styleId="FontStyle11">
    <w:name w:val="Font Style11"/>
    <w:basedOn w:val="a0"/>
    <w:uiPriority w:val="99"/>
    <w:rsid w:val="000878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789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8789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8789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a3">
    <w:name w:val="Hyperlink"/>
    <w:basedOn w:val="a0"/>
    <w:uiPriority w:val="99"/>
    <w:rsid w:val="0008789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7097-D07B-4BD6-ADD1-EF2806E8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Krupenina</dc:creator>
  <cp:keywords/>
  <dc:description/>
  <cp:lastModifiedBy>Velikanova</cp:lastModifiedBy>
  <cp:revision>22</cp:revision>
  <cp:lastPrinted>2018-10-05T07:02:00Z</cp:lastPrinted>
  <dcterms:created xsi:type="dcterms:W3CDTF">2017-04-10T14:07:00Z</dcterms:created>
  <dcterms:modified xsi:type="dcterms:W3CDTF">2019-01-15T05:48:00Z</dcterms:modified>
</cp:coreProperties>
</file>