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2858CB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C11574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2858CB">
        <w:rPr>
          <w:rFonts w:ascii="Times New Roman" w:hAnsi="Times New Roman" w:cs="Times New Roman"/>
          <w:sz w:val="28"/>
          <w:szCs w:val="28"/>
        </w:rPr>
        <w:t>09 января</w:t>
      </w:r>
      <w:r w:rsidR="0000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2858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8CB">
        <w:rPr>
          <w:rFonts w:ascii="Times New Roman" w:hAnsi="Times New Roman" w:cs="Times New Roman"/>
          <w:sz w:val="28"/>
          <w:szCs w:val="28"/>
        </w:rPr>
        <w:t>09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D561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172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F1ECF" w:rsidRPr="00C17CE5" w:rsidRDefault="006F1E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D561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6172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F1ECF" w:rsidRPr="00FE78A3" w:rsidRDefault="006F1E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proofErr w:type="gramStart"/>
      <w:r w:rsidR="00646419" w:rsidRPr="00E154B3">
        <w:rPr>
          <w:sz w:val="28"/>
          <w:szCs w:val="28"/>
        </w:rPr>
        <w:t>л</w:t>
      </w:r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A62FB1" w:rsidRDefault="00A62FB1" w:rsidP="00A62FB1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t xml:space="preserve"> </w:t>
      </w:r>
      <w:r>
        <w:t>программа) изложить в новой редакции:</w:t>
      </w:r>
    </w:p>
    <w:p w:rsidR="007A2E7A" w:rsidRDefault="007A2E7A" w:rsidP="007A2E7A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t>паспорт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согласно приложению 1 к настоящему постановлению;</w:t>
      </w:r>
    </w:p>
    <w:p w:rsidR="007A2E7A" w:rsidRDefault="007A2E7A" w:rsidP="007A2E7A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t xml:space="preserve">план реализации муниципальной программы Лужского муниципального района Ленинградской области «Развитие сельского </w:t>
      </w:r>
      <w:r>
        <w:lastRenderedPageBreak/>
        <w:t xml:space="preserve">хозяйства Лужского муниципального района Ленинградской области» на период 2024-2026 годов приложения 1 к Муниципальной программе согласно приложению 2 к настоящему постановлению;  </w:t>
      </w:r>
    </w:p>
    <w:p w:rsidR="009F6812" w:rsidRDefault="007A2E7A" w:rsidP="007A2E7A">
      <w:pPr>
        <w:pStyle w:val="22"/>
        <w:widowControl w:val="0"/>
        <w:numPr>
          <w:ilvl w:val="1"/>
          <w:numId w:val="16"/>
        </w:numPr>
        <w:tabs>
          <w:tab w:val="left" w:pos="1134"/>
        </w:tabs>
        <w:ind w:firstLine="709"/>
        <w:contextualSpacing/>
        <w:jc w:val="both"/>
      </w:pPr>
      <w:r>
        <w:t>прогнозные значения показателей (индикаторов) реализации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на период 2023-2026 годов приложение 2 к Муниципальной программе согласно приложению 3 к настоящему постановлению</w:t>
      </w:r>
      <w:r w:rsidR="00526CDB">
        <w:t>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</w:t>
      </w:r>
      <w:r w:rsidRPr="00CE5FDF">
        <w:t xml:space="preserve"> </w:t>
      </w:r>
      <w:r>
        <w:t>подлежит официальному опубликованию</w:t>
      </w:r>
      <w:r w:rsidRPr="00E154B3">
        <w:t>.</w:t>
      </w:r>
    </w:p>
    <w:p w:rsidR="00CE5FDF" w:rsidRPr="00CE5FDF" w:rsidRDefault="00CE5FDF" w:rsidP="00CE5FDF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CE5FDF">
        <w:t>официального опубликования.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r w:rsidR="00A62FB1">
        <w:rPr>
          <w:color w:val="auto"/>
          <w:sz w:val="28"/>
          <w:szCs w:val="28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F1ECF" w:rsidRDefault="006F1ECF" w:rsidP="000078C5">
      <w:pPr>
        <w:widowControl w:val="0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6F1ECF" w:rsidRDefault="006F1ECF" w:rsidP="006F1ECF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C3B03">
        <w:rPr>
          <w:rFonts w:ascii="Times New Roman" w:eastAsia="Times New Roman" w:hAnsi="Times New Roman" w:cs="Times New Roman"/>
          <w:bCs/>
          <w:sz w:val="28"/>
          <w:szCs w:val="28"/>
        </w:rPr>
        <w:t>09.01.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C3B0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8C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C3B03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1ECF" w:rsidRPr="006F1ECF" w:rsidRDefault="006F1ECF" w:rsidP="006F1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E7A" w:rsidRDefault="007A2E7A" w:rsidP="007A2E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7A2E7A" w:rsidRDefault="007A2E7A" w:rsidP="007A2E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A2E7A" w:rsidRDefault="007A2E7A" w:rsidP="007A2E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</w:p>
    <w:p w:rsidR="007A2E7A" w:rsidRDefault="007A2E7A" w:rsidP="007A2E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сельского хозяйства Лужского муниципального района Ленинградской области» (далее – муниципальная программа)</w:t>
      </w:r>
    </w:p>
    <w:p w:rsidR="007A2E7A" w:rsidRDefault="007A2E7A" w:rsidP="007A2E7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7A2E7A" w:rsidTr="007A2E7A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2019-2027 годы</w:t>
            </w:r>
          </w:p>
        </w:tc>
      </w:tr>
      <w:tr w:rsidR="007A2E7A" w:rsidTr="007A2E7A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агропромышленного комплекса  администрации Лужского муниципального района</w:t>
            </w:r>
          </w:p>
        </w:tc>
      </w:tr>
      <w:tr w:rsidR="007A2E7A" w:rsidTr="007A2E7A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предприятия; </w:t>
            </w:r>
          </w:p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Толмачевского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и сельских поселений Лужского муниципального района; </w:t>
            </w:r>
          </w:p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крестьянские (фермерские) хозяйства; </w:t>
            </w:r>
          </w:p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ведущие личное подсобное хозяйство;</w:t>
            </w:r>
          </w:p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предприниматели, занятые сельскохозяйственным  производством;</w:t>
            </w:r>
          </w:p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сельскохозяйственные потребительские кооперативы;  </w:t>
            </w:r>
          </w:p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садоводческие и огороднические некоммерческие товарищества; </w:t>
            </w:r>
          </w:p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«Единая служба заказчика» Лужского муниципального района Ленинградской области</w:t>
            </w:r>
          </w:p>
        </w:tc>
      </w:tr>
      <w:tr w:rsidR="007A2E7A" w:rsidTr="007A2E7A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 и с</w:t>
            </w:r>
            <w:r>
              <w:rPr>
                <w:rFonts w:ascii="Times New Roman" w:eastAsia="Times New Roman" w:hAnsi="Times New Roman" w:cs="Times New Roman"/>
              </w:rPr>
              <w:t>оздание комфортных условий жизнедеятельности на сельских территориях</w:t>
            </w:r>
          </w:p>
        </w:tc>
      </w:tr>
      <w:tr w:rsidR="007A2E7A" w:rsidTr="007A2E7A">
        <w:trPr>
          <w:trHeight w:val="169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Создание условий для увеличения объема производства качественной сельскохозяйственной продукции.</w:t>
            </w:r>
          </w:p>
          <w:p w:rsidR="007A2E7A" w:rsidRDefault="007A2E7A" w:rsidP="007A2E7A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75"/>
              </w:tabs>
              <w:ind w:left="-11" w:firstLine="1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благоприятной социальной среды и повышение уровня жизни сельского населения</w:t>
            </w:r>
          </w:p>
        </w:tc>
      </w:tr>
      <w:tr w:rsidR="007A2E7A" w:rsidTr="007A2E7A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E7A" w:rsidRDefault="007A2E7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концу 2027 года:</w:t>
            </w:r>
          </w:p>
          <w:p w:rsidR="007A2E7A" w:rsidRDefault="007A2E7A" w:rsidP="007A2E7A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 –                                         </w:t>
            </w:r>
            <w:r>
              <w:rPr>
                <w:rFonts w:ascii="Times New Roman" w:hAnsi="Times New Roman" w:cs="Times New Roman"/>
                <w:color w:val="auto"/>
              </w:rPr>
              <w:t>2 596 532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7A2E7A" w:rsidRDefault="007A2E7A" w:rsidP="007A2E7A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сохранение и прирост поголовья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животных, % к предыдущему году – 100%;</w:t>
            </w:r>
          </w:p>
          <w:p w:rsidR="007A2E7A" w:rsidRDefault="007A2E7A" w:rsidP="007A2E7A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образований, реализовавших проекты по капитальному ремонту объектов культуры в рамках реализации мероприятий направленных на  достижение цели федерального проекта «Современный облик сельских территорий» (нарастающим итогом)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7A2E7A" w:rsidRDefault="007A2E7A" w:rsidP="007A2E7A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освобождения земельных площадей, от засоренности борщевиком Сосновского - не менее 854 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A2E7A" w:rsidRPr="007A2E7A" w:rsidRDefault="007A2E7A" w:rsidP="007A2E7A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A2E7A">
              <w:rPr>
                <w:rFonts w:ascii="Times New Roman" w:hAnsi="Times New Roman" w:cs="Times New Roman"/>
              </w:rPr>
              <w:t xml:space="preserve">оля привлеченных сельских поселений к участию в муниципальной программе – 90 %, в </w:t>
            </w:r>
            <w:proofErr w:type="gramStart"/>
            <w:r w:rsidRPr="007A2E7A">
              <w:rPr>
                <w:rFonts w:ascii="Times New Roman" w:hAnsi="Times New Roman" w:cs="Times New Roman"/>
              </w:rPr>
              <w:t>общем</w:t>
            </w:r>
            <w:proofErr w:type="gramEnd"/>
            <w:r w:rsidRPr="007A2E7A">
              <w:rPr>
                <w:rFonts w:ascii="Times New Roman" w:hAnsi="Times New Roman" w:cs="Times New Roman"/>
              </w:rPr>
              <w:t xml:space="preserve"> их числе;</w:t>
            </w:r>
          </w:p>
          <w:p w:rsidR="007A2E7A" w:rsidRDefault="007A2E7A" w:rsidP="007A2E7A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8" w:firstLine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7A2E7A">
              <w:rPr>
                <w:rFonts w:ascii="Times New Roman" w:hAnsi="Times New Roman" w:cs="Times New Roman"/>
              </w:rPr>
              <w:t>оличество</w:t>
            </w:r>
            <w:proofErr w:type="spellEnd"/>
            <w:r w:rsidRPr="007A2E7A">
              <w:rPr>
                <w:rFonts w:ascii="Times New Roman" w:hAnsi="Times New Roman" w:cs="Times New Roman"/>
              </w:rPr>
              <w:t xml:space="preserve"> общеобразовательных и дошкольных</w:t>
            </w:r>
            <w:r>
              <w:rPr>
                <w:rFonts w:ascii="Times New Roman" w:eastAsia="Times New Roman" w:hAnsi="Times New Roman" w:cs="Times New Roman"/>
              </w:rPr>
              <w:t xml:space="preserve"> образовательных учреждений, в которых выполнены работы по капитальному ремонту, строительству и реконструкции - 8 ед.</w:t>
            </w:r>
          </w:p>
        </w:tc>
      </w:tr>
      <w:tr w:rsidR="007A2E7A" w:rsidTr="007A2E7A">
        <w:trPr>
          <w:trHeight w:val="123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Общий объем финансирования муниципальной программы за весь период реализации составит                            964 187,43667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тыс. рублей</w:t>
            </w:r>
          </w:p>
        </w:tc>
      </w:tr>
      <w:tr w:rsidR="007A2E7A" w:rsidTr="007A2E7A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:rsidR="007A2E7A" w:rsidRDefault="007A2E7A" w:rsidP="007A2E7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E7A" w:rsidRDefault="007A2E7A" w:rsidP="007A2E7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E7A" w:rsidRDefault="007A2E7A" w:rsidP="007A2E7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E7A" w:rsidRDefault="007A2E7A" w:rsidP="007A2E7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E7A" w:rsidRDefault="007A2E7A" w:rsidP="007A2E7A"/>
    <w:p w:rsidR="007A2E7A" w:rsidRDefault="007A2E7A" w:rsidP="007A2E7A">
      <w:pPr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7A2E7A">
          <w:pgSz w:w="11905" w:h="16837"/>
          <w:pgMar w:top="1134" w:right="851" w:bottom="1134" w:left="1701" w:header="0" w:footer="6" w:gutter="0"/>
          <w:cols w:space="720"/>
        </w:sect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819"/>
        <w:gridCol w:w="1561"/>
        <w:gridCol w:w="6"/>
        <w:gridCol w:w="1642"/>
        <w:gridCol w:w="1332"/>
        <w:gridCol w:w="1558"/>
        <w:gridCol w:w="1275"/>
        <w:gridCol w:w="963"/>
        <w:gridCol w:w="1316"/>
        <w:gridCol w:w="1626"/>
      </w:tblGrid>
      <w:tr w:rsidR="007A2E7A" w:rsidTr="007A2E7A">
        <w:trPr>
          <w:trHeight w:val="315"/>
        </w:trPr>
        <w:tc>
          <w:tcPr>
            <w:tcW w:w="147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7A2E7A" w:rsidRDefault="007A2E7A" w:rsidP="007A2E7A">
            <w:pPr>
              <w:pStyle w:val="11"/>
              <w:shd w:val="clear" w:color="auto" w:fill="auto"/>
              <w:spacing w:after="0" w:line="240" w:lineRule="auto"/>
              <w:ind w:left="10490" w:right="-457" w:hanging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7A2E7A" w:rsidRDefault="007A2E7A" w:rsidP="007A2E7A">
            <w:pPr>
              <w:pStyle w:val="11"/>
              <w:shd w:val="clear" w:color="auto" w:fill="auto"/>
              <w:spacing w:after="0" w:line="240" w:lineRule="auto"/>
              <w:ind w:left="10490" w:right="-2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7A2E7A" w:rsidRDefault="007A2E7A" w:rsidP="007A2E7A">
            <w:pPr>
              <w:pStyle w:val="11"/>
              <w:shd w:val="clear" w:color="auto" w:fill="auto"/>
              <w:spacing w:after="0" w:line="240" w:lineRule="auto"/>
              <w:ind w:left="10490" w:right="-2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Лужского муниципального района </w:t>
            </w:r>
          </w:p>
          <w:p w:rsidR="007A2E7A" w:rsidRPr="00AC3B03" w:rsidRDefault="007A2E7A" w:rsidP="007A2E7A">
            <w:pPr>
              <w:pStyle w:val="11"/>
              <w:shd w:val="clear" w:color="auto" w:fill="auto"/>
              <w:spacing w:after="0" w:line="240" w:lineRule="auto"/>
              <w:ind w:left="10490" w:right="-2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C3B03">
              <w:rPr>
                <w:sz w:val="28"/>
                <w:szCs w:val="28"/>
              </w:rPr>
              <w:t>09.01.2025 № 09</w:t>
            </w:r>
          </w:p>
          <w:p w:rsidR="007A2E7A" w:rsidRDefault="007A2E7A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A2E7A" w:rsidRDefault="007A2E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7A2E7A" w:rsidTr="007A2E7A">
        <w:trPr>
          <w:trHeight w:val="315"/>
        </w:trPr>
        <w:tc>
          <w:tcPr>
            <w:tcW w:w="147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2E7A" w:rsidRDefault="007A2E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План</w:t>
            </w:r>
          </w:p>
        </w:tc>
      </w:tr>
      <w:tr w:rsidR="007A2E7A" w:rsidTr="007A2E7A">
        <w:trPr>
          <w:trHeight w:val="315"/>
        </w:trPr>
        <w:tc>
          <w:tcPr>
            <w:tcW w:w="147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2E7A" w:rsidRDefault="007A2E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реализации муниципальной программы Лужского муниципального района Ленинградской области</w:t>
            </w:r>
          </w:p>
        </w:tc>
      </w:tr>
      <w:tr w:rsidR="007A2E7A" w:rsidTr="007A2E7A">
        <w:trPr>
          <w:trHeight w:val="315"/>
        </w:trPr>
        <w:tc>
          <w:tcPr>
            <w:tcW w:w="147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2E7A" w:rsidRDefault="007A2E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«Развитие сельского хозяйства Лужского муниципального района Ленинградской области»</w:t>
            </w:r>
          </w:p>
        </w:tc>
      </w:tr>
      <w:tr w:rsidR="007A2E7A" w:rsidTr="007A2E7A">
        <w:trPr>
          <w:trHeight w:val="315"/>
        </w:trPr>
        <w:tc>
          <w:tcPr>
            <w:tcW w:w="147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2E7A" w:rsidRDefault="007A2E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на период 2024-2027 годов</w:t>
            </w:r>
          </w:p>
          <w:p w:rsidR="007A2E7A" w:rsidRDefault="007A2E7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260 826,36805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117 880,02352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49 848,34453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107 629,88454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98 425,88454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77 140,32173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67 936,32173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45 547,52819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36 343,52819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491 144,10251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320 585,75798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77 460,34453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233 092,90751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98 401,56298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78 387,56543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78 387,56543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46 637,02248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46 637,02248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проектной части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372 634,92635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237 943,58182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Отраслевой проект «Современный облик сельских территорий»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231 217,41795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96 526,07342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2.1-2.4 приложения 2 к муниципа</w:t>
            </w: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76 513,94843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76 513,94843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44 572,39100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44 572,39100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364 832,65138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230 141,30685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140 054,82004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37 216,37923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37 216,37923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26 265,02900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26 265,02900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203 536,22827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77 495,88374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77 661,99171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69 010,99171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6 500,00000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6 500,00000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90 161,99171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81 510,99171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32 797,56920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32 797,56920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12 307,36200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12 307,36200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71 134,43140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71 134,43140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2.1.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1 873,61700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7 802,27497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29 242,31911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30 503,29925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31 030,09726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118 509,17616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35 867,00000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29 242,31911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30 503,29925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31 030,09726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118 509,17616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35 867,00000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16 529,94560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16529,94560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17 262,97711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18 291,86525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18 733,73326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70 469,86822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890,65300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890,56300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1.1.3 Личных подсобных хозяй</w:t>
            </w:r>
            <w:proofErr w:type="gramStart"/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1.1-1.8 </w:t>
            </w: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380,74400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480,74400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1 650,23200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1.2.Расходы на организацию и проведение ярмарок, конкурсов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1.9-1.10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7A2E7A" w:rsidRPr="007A2E7A" w:rsidTr="007A2E7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Pr="007A2E7A" w:rsidRDefault="007A2E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35 867,00000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35 867,00000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Pr="007A2E7A" w:rsidRDefault="007A2E7A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2E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7A2E7A" w:rsidRDefault="007A2E7A" w:rsidP="007A2E7A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7A2E7A" w:rsidRDefault="007A2E7A" w:rsidP="007A2E7A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7A2E7A" w:rsidRDefault="007A2E7A" w:rsidP="007A2E7A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7A2E7A" w:rsidRDefault="007A2E7A" w:rsidP="007A2E7A">
      <w:pPr>
        <w:keepNext/>
        <w:outlineLvl w:val="0"/>
        <w:rPr>
          <w:rFonts w:ascii="Times New Roman" w:eastAsia="Times New Roman" w:hAnsi="Times New Roman" w:cs="Times New Roman"/>
          <w:b/>
          <w:color w:val="auto"/>
          <w:lang w:val="en-US"/>
        </w:rPr>
      </w:pPr>
    </w:p>
    <w:p w:rsidR="007A2E7A" w:rsidRDefault="007A2E7A" w:rsidP="007A2E7A">
      <w:pPr>
        <w:keepNext/>
        <w:jc w:val="righ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</w:t>
      </w:r>
    </w:p>
    <w:p w:rsidR="007A2E7A" w:rsidRDefault="007A2E7A" w:rsidP="007A2E7A">
      <w:pPr>
        <w:keepNext/>
        <w:outlineLvl w:val="0"/>
        <w:rPr>
          <w:sz w:val="28"/>
          <w:szCs w:val="28"/>
        </w:rPr>
      </w:pPr>
    </w:p>
    <w:p w:rsidR="007A2E7A" w:rsidRDefault="007A2E7A" w:rsidP="007A2E7A">
      <w:pPr>
        <w:keepNext/>
        <w:jc w:val="right"/>
        <w:outlineLvl w:val="0"/>
        <w:rPr>
          <w:sz w:val="28"/>
          <w:szCs w:val="28"/>
        </w:rPr>
      </w:pPr>
    </w:p>
    <w:p w:rsidR="007A2E7A" w:rsidRDefault="007A2E7A" w:rsidP="007A2E7A">
      <w:pPr>
        <w:keepNext/>
        <w:jc w:val="right"/>
        <w:outlineLvl w:val="0"/>
        <w:rPr>
          <w:sz w:val="28"/>
          <w:szCs w:val="28"/>
        </w:rPr>
      </w:pPr>
    </w:p>
    <w:p w:rsidR="007A2E7A" w:rsidRDefault="007A2E7A" w:rsidP="007A2E7A">
      <w:pPr>
        <w:keepNext/>
        <w:jc w:val="right"/>
        <w:outlineLvl w:val="0"/>
        <w:rPr>
          <w:sz w:val="28"/>
          <w:szCs w:val="28"/>
        </w:rPr>
      </w:pPr>
    </w:p>
    <w:p w:rsidR="00C11574" w:rsidRDefault="00C11574" w:rsidP="007A2E7A">
      <w:pPr>
        <w:keepNext/>
        <w:jc w:val="right"/>
        <w:outlineLvl w:val="0"/>
        <w:rPr>
          <w:sz w:val="28"/>
          <w:szCs w:val="28"/>
        </w:rPr>
        <w:sectPr w:rsidR="00C11574" w:rsidSect="00A62FB1">
          <w:pgSz w:w="16837" w:h="11905" w:orient="landscape"/>
          <w:pgMar w:top="1135" w:right="1134" w:bottom="851" w:left="1134" w:header="0" w:footer="6" w:gutter="0"/>
          <w:cols w:space="720"/>
          <w:noEndnote/>
          <w:docGrid w:linePitch="360"/>
        </w:sectPr>
      </w:pPr>
    </w:p>
    <w:p w:rsidR="007A2E7A" w:rsidRPr="007A2E7A" w:rsidRDefault="007A2E7A" w:rsidP="007A2E7A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A2E7A" w:rsidRDefault="007A2E7A" w:rsidP="007A2E7A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A2E7A" w:rsidRDefault="007A2E7A" w:rsidP="007A2E7A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7A2E7A" w:rsidRPr="00AC3B03" w:rsidRDefault="007A2E7A" w:rsidP="007A2E7A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3B03">
        <w:rPr>
          <w:sz w:val="28"/>
          <w:szCs w:val="28"/>
        </w:rPr>
        <w:t>09.01.2025 № 09</w:t>
      </w:r>
    </w:p>
    <w:p w:rsidR="007A2E7A" w:rsidRDefault="007A2E7A" w:rsidP="007A2E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2E7A" w:rsidRDefault="007A2E7A" w:rsidP="007A2E7A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 xml:space="preserve">Прогнозные значения 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br/>
        <w:t xml:space="preserve">показателей (индикаторов) реализации муниципальной программы Лужского муниципального района </w:t>
      </w:r>
    </w:p>
    <w:p w:rsidR="007A2E7A" w:rsidRPr="007A2E7A" w:rsidRDefault="007A2E7A" w:rsidP="007A2E7A">
      <w:pPr>
        <w:widowControl w:val="0"/>
        <w:jc w:val="center"/>
        <w:outlineLvl w:val="0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>Ленинградской области «</w:t>
      </w:r>
      <w:proofErr w:type="gramStart"/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>!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азвитие сельского хозяйства Лужского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/>
          <w:color w:val="auto"/>
          <w:sz w:val="28"/>
          <w:szCs w:val="28"/>
        </w:rPr>
        <w:t>на период 2023-2027 годов»</w:t>
      </w:r>
    </w:p>
    <w:p w:rsidR="007A2E7A" w:rsidRDefault="007A2E7A" w:rsidP="007A2E7A">
      <w:pPr>
        <w:widowControl w:val="0"/>
        <w:jc w:val="center"/>
        <w:outlineLvl w:val="0"/>
        <w:rPr>
          <w:rFonts w:ascii="Times New Roman" w:eastAsia="Times New Roman" w:hAnsi="Times New Roman"/>
          <w:color w:val="auto"/>
          <w:sz w:val="28"/>
          <w:szCs w:val="28"/>
        </w:rPr>
      </w:pPr>
    </w:p>
    <w:tbl>
      <w:tblPr>
        <w:tblW w:w="15360" w:type="dxa"/>
        <w:jc w:val="center"/>
        <w:tblInd w:w="-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5"/>
        <w:gridCol w:w="1134"/>
        <w:gridCol w:w="3260"/>
        <w:gridCol w:w="1134"/>
        <w:gridCol w:w="1215"/>
        <w:gridCol w:w="1134"/>
        <w:gridCol w:w="1134"/>
        <w:gridCol w:w="1134"/>
      </w:tblGrid>
      <w:tr w:rsidR="007A2E7A" w:rsidTr="007A2E7A">
        <w:trPr>
          <w:trHeight w:val="397"/>
          <w:tblHeader/>
          <w:jc w:val="center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left="-71" w:right="-14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Источник данных/порядок расчета показателя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7A2E7A" w:rsidTr="007A2E7A">
        <w:trPr>
          <w:trHeight w:val="397"/>
          <w:tblHeader/>
          <w:jc w:val="center"/>
        </w:trPr>
        <w:tc>
          <w:tcPr>
            <w:tcW w:w="1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1. Развитие сельскохозяйственного производства и повышение его эффективности, расширение рынка сельскохозяйственной продукции, сырья и продовольствия и создание комфортных условий жизнедеятельности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E7A" w:rsidTr="007A2E7A">
        <w:trPr>
          <w:trHeight w:val="20"/>
          <w:jc w:val="center"/>
        </w:trPr>
        <w:tc>
          <w:tcPr>
            <w:tcW w:w="1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1. 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оздание условий для увеличения объема производства качественной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Показатель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1.1.Объем отгруженных товаров собственного производства, выполненных работ и услуг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тыс.</w:t>
            </w:r>
          </w:p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Объем отгруженных товаров собственного производства, выполненных работ и услуг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 (статистическая отчетность).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2 400 640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2 596 532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2 800 000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Показатель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1.2.Объем инвестиций в основной капитал предприятий сельского хозяйства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  (за исключением бюджетных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тыс.</w:t>
            </w:r>
          </w:p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Объем инвестиций в основной капитал предприятий сельского хозяйства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  (за исключением бюджетных средств)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(статистическая отчетность).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484 120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830 000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Показатель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1.3.Среднемесячная  начисленная заработная плата работников по организациям, не относящимся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предпринимательства (включая средние предприятия), средняя численность работников которых превышает 15 человек, за январь-декабрь</w:t>
            </w:r>
          </w:p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Среднемесячная заработная плата работников по организациям, не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относящимся к субъектам малого предпринимательства (включая средние предприятия), средняя численность работников которых превышает 15 человек, за январь-декабрь</w:t>
            </w:r>
          </w:p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ОКВЭД Сельское хозяйство (статистическая отчетность).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43 669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64 500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lastRenderedPageBreak/>
              <w:t>Показатель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1.4.Среднесписочная численность  работников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за январь-декабрь</w:t>
            </w:r>
          </w:p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Среднесписочная численность  работников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за январь-декабрь</w:t>
            </w:r>
          </w:p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ОКВЭД Сельское хозяйство (статистическая отчетность).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Показатель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 Индекс производства продукции сельского хозяйства (в хозяйствах всех категорий) в сопоставимых ценах *2015 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 xml:space="preserve">Отчеты предприятий, организаций, 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Ф)Х, личных подсобных хозяйств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Показатель 1.6. Реализация инвестиционных проектов в сфере сельского хозяйства, объем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инвестиций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которых составляет не менее 50,0 млн. руб., ед. за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 xml:space="preserve">Отчеты предприятий, организаций, 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Ф)Х.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1.7. Сохранение и прирост поголовья 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животных,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 xml:space="preserve">Отчеты предприятий, организаций, 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Ф)Х, личных подсобных хозяйств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1.8. Производительность труда по ОКВЭД 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/чел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 xml:space="preserve">Соотношение объема  отгруженных товаров собственного производства, выполненных работ и услуг  по организациям сельского хозяйства, не относящимся к субъектам малого предпринимательства (включая средние предприятия), средняя численность работников которых превышает 15 человек к среднесписочной численности работников таких организаций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lastRenderedPageBreak/>
              <w:t>(статистическая отчетность)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3 081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3 636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 1.9. Количество выездных мероприятий, выставок, семинаров на областном и международном уровнях, ед.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Ед.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Календарный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1.10. Количество проведенных на территории муниципального района  конкурсов, ярмарок, ед.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Ед.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Календарный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1.11. Количество плательщиков ЕСХН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Ед.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  <w:lang w:eastAsia="en-US"/>
              </w:rPr>
              <w:t>Отчет о налоговой базе и структуре начислений по единому сельскохозяйственному налогу (Форма № 5-ЕСХН)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Показатель 1.12.  Количество участников в конкурсных отборах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регионального уровней на предоставлений грантов на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Ед.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Pr="007A2E7A" w:rsidRDefault="00D56172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66CC"/>
                <w:u w:val="single"/>
                <w:lang w:eastAsia="en-US"/>
              </w:rPr>
            </w:pPr>
            <w:hyperlink r:id="rId9" w:history="1">
              <w:r w:rsidR="007A2E7A">
                <w:rPr>
                  <w:rStyle w:val="a3"/>
                  <w:rFonts w:ascii="Times New Roman" w:hAnsi="Times New Roman"/>
                  <w:i/>
                  <w:color w:val="auto"/>
                  <w:sz w:val="20"/>
                  <w:lang w:eastAsia="en-US"/>
                </w:rPr>
                <w:t xml:space="preserve">Информация Комитета  по агропромышленному и </w:t>
              </w:r>
              <w:proofErr w:type="spellStart"/>
              <w:r w:rsidR="007A2E7A">
                <w:rPr>
                  <w:rStyle w:val="a3"/>
                  <w:rFonts w:ascii="Times New Roman" w:hAnsi="Times New Roman"/>
                  <w:i/>
                  <w:color w:val="auto"/>
                  <w:sz w:val="20"/>
                  <w:lang w:eastAsia="en-US"/>
                </w:rPr>
                <w:t>рыбохозяйственному</w:t>
              </w:r>
              <w:proofErr w:type="spellEnd"/>
              <w:r w:rsidR="007A2E7A">
                <w:rPr>
                  <w:rStyle w:val="a3"/>
                  <w:rFonts w:ascii="Times New Roman" w:hAnsi="Times New Roman"/>
                  <w:i/>
                  <w:color w:val="auto"/>
                  <w:sz w:val="20"/>
                  <w:lang w:eastAsia="en-US"/>
                </w:rPr>
                <w:t xml:space="preserve"> комплексу Ленинградской области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1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  <w:t>Задача 2 Становление благоприятной социальной среды и повышение уровня жизни сельского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  <w:t xml:space="preserve">Показатель 2.1.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типа, в которых выполнены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капитальному ремонту, реконструкции и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Акт выполненных работ, акт ввода в эксплуатацию, отчеты поселений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и дошкольных образовательных учреждений, в которых выполнены работы по капитальному ремонту, строительству 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Акт выполненных работ, акт ввода в эксплуатацию, отчеты поселений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2.3.Доля привлеченных сельских поселений к участию в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Отчеты поселений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A2E7A" w:rsidTr="007A2E7A">
        <w:trPr>
          <w:trHeight w:val="20"/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Показатель 2.4. Площадь освобождённых земель от  засоренности борщевиком Сосновского.</w:t>
            </w:r>
          </w:p>
          <w:p w:rsidR="007A2E7A" w:rsidRDefault="007A2E7A" w:rsidP="007A2E7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eastAsia="en-US"/>
              </w:rPr>
              <w:t>Акт выполненных работ, отчеты поселений Лужского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7A" w:rsidRDefault="007A2E7A" w:rsidP="007A2E7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</w:tr>
    </w:tbl>
    <w:p w:rsidR="007A2E7A" w:rsidRDefault="007A2E7A" w:rsidP="007A2E7A">
      <w:pPr>
        <w:keepNext/>
        <w:outlineLvl w:val="0"/>
        <w:rPr>
          <w:sz w:val="28"/>
          <w:szCs w:val="28"/>
        </w:rPr>
      </w:pPr>
    </w:p>
    <w:p w:rsidR="007A2E7A" w:rsidRDefault="007A2E7A" w:rsidP="007A2E7A">
      <w:pPr>
        <w:keepNext/>
        <w:outlineLvl w:val="0"/>
        <w:rPr>
          <w:sz w:val="28"/>
          <w:szCs w:val="28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A62FB1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E1" w:rsidRDefault="009471E1" w:rsidP="001849F8">
      <w:r>
        <w:separator/>
      </w:r>
    </w:p>
  </w:endnote>
  <w:endnote w:type="continuationSeparator" w:id="0">
    <w:p w:rsidR="009471E1" w:rsidRDefault="009471E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E1" w:rsidRDefault="009471E1"/>
  </w:footnote>
  <w:footnote w:type="continuationSeparator" w:id="0">
    <w:p w:rsidR="009471E1" w:rsidRDefault="009471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2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C5D1E"/>
    <w:rsid w:val="000D1DD8"/>
    <w:rsid w:val="000D4F1A"/>
    <w:rsid w:val="000D6E46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D06FA"/>
    <w:rsid w:val="001D1801"/>
    <w:rsid w:val="001D35BD"/>
    <w:rsid w:val="001D4BA9"/>
    <w:rsid w:val="001D72DE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858CB"/>
    <w:rsid w:val="002A6407"/>
    <w:rsid w:val="002B6F54"/>
    <w:rsid w:val="002C4465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C0D5A"/>
    <w:rsid w:val="004D0ADD"/>
    <w:rsid w:val="004E0986"/>
    <w:rsid w:val="004E2E92"/>
    <w:rsid w:val="004E742B"/>
    <w:rsid w:val="00500BAD"/>
    <w:rsid w:val="00504907"/>
    <w:rsid w:val="00504FB1"/>
    <w:rsid w:val="00506DAD"/>
    <w:rsid w:val="00520182"/>
    <w:rsid w:val="00520412"/>
    <w:rsid w:val="00526CDB"/>
    <w:rsid w:val="005363A7"/>
    <w:rsid w:val="005405FA"/>
    <w:rsid w:val="00540FC8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2E7A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1E1"/>
    <w:rsid w:val="009477B2"/>
    <w:rsid w:val="00951F2E"/>
    <w:rsid w:val="0096200E"/>
    <w:rsid w:val="00964BBB"/>
    <w:rsid w:val="009679CA"/>
    <w:rsid w:val="009721CF"/>
    <w:rsid w:val="009728F0"/>
    <w:rsid w:val="00974731"/>
    <w:rsid w:val="00974E2C"/>
    <w:rsid w:val="00975D7C"/>
    <w:rsid w:val="00983C77"/>
    <w:rsid w:val="00990E22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2FB1"/>
    <w:rsid w:val="00A75B7B"/>
    <w:rsid w:val="00A76583"/>
    <w:rsid w:val="00A91100"/>
    <w:rsid w:val="00AA0660"/>
    <w:rsid w:val="00AA14BD"/>
    <w:rsid w:val="00AB098E"/>
    <w:rsid w:val="00AB2B8C"/>
    <w:rsid w:val="00AB6DAC"/>
    <w:rsid w:val="00AC180A"/>
    <w:rsid w:val="00AC3B03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736ED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C020FB"/>
    <w:rsid w:val="00C06696"/>
    <w:rsid w:val="00C11574"/>
    <w:rsid w:val="00C12A60"/>
    <w:rsid w:val="00C145BF"/>
    <w:rsid w:val="00C149A0"/>
    <w:rsid w:val="00C17CE5"/>
    <w:rsid w:val="00C21EFC"/>
    <w:rsid w:val="00C317E4"/>
    <w:rsid w:val="00C324D2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56172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7A2E7A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rsid w:val="007A2E7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7A2E7A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rsid w:val="007A2E7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groprom.lenobl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E4C1D5-C207-4A4B-9CCF-D63DE238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19923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https://agroprom.lenobl.ru/ru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2025-01-09T12:30:00Z</dcterms:created>
  <dcterms:modified xsi:type="dcterms:W3CDTF">2025-01-09T12:32:00Z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