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6" w:rsidRPr="00F14386" w:rsidRDefault="00EC0942" w:rsidP="00EC094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>овет депутатов Лужского городского поселения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_________</w:t>
      </w:r>
      <w:r w:rsidR="00D42199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6F753A">
        <w:rPr>
          <w:rFonts w:ascii="Times New Roman" w:hAnsi="Times New Roman" w:cs="Times New Roman"/>
          <w:sz w:val="28"/>
          <w:szCs w:val="28"/>
        </w:rPr>
        <w:t>_  № __________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092F" w:rsidRDefault="0035092F" w:rsidP="003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2199">
        <w:rPr>
          <w:rFonts w:ascii="Times New Roman" w:hAnsi="Times New Roman" w:cs="Times New Roman"/>
          <w:sz w:val="28"/>
          <w:szCs w:val="28"/>
        </w:rPr>
        <w:t>Порядка оценки</w:t>
      </w:r>
    </w:p>
    <w:p w:rsidR="0035092F" w:rsidRDefault="00D42199" w:rsidP="003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</w:p>
    <w:p w:rsidR="00D42199" w:rsidRDefault="00D42199" w:rsidP="003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5092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 </w:t>
      </w:r>
    </w:p>
    <w:p w:rsidR="00F65FC5" w:rsidRDefault="00D42199" w:rsidP="003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</w:t>
      </w:r>
      <w:r w:rsidR="00350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5FC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54B18" w:rsidRDefault="00B54B18" w:rsidP="006F75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proofErr w:type="gramEnd"/>
    </w:p>
    <w:p w:rsidR="00B54B18" w:rsidRDefault="00B54B18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03E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5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FC5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F65FC5" w:rsidRDefault="003F511B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F65FC5" w:rsidRPr="006F753A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3624" w:rsidRPr="00E85119" w:rsidRDefault="004762ED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5092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5092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5092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5092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509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60997">
        <w:rPr>
          <w:rFonts w:ascii="Times New Roman" w:hAnsi="Times New Roman" w:cs="Times New Roman"/>
          <w:sz w:val="28"/>
          <w:szCs w:val="28"/>
        </w:rPr>
        <w:t xml:space="preserve">, </w:t>
      </w:r>
      <w:r w:rsidR="00607369" w:rsidRPr="00607369">
        <w:rPr>
          <w:rFonts w:ascii="Times New Roman" w:hAnsi="Times New Roman" w:cs="Times New Roman"/>
          <w:sz w:val="28"/>
          <w:szCs w:val="28"/>
        </w:rPr>
        <w:t xml:space="preserve">Положением о порядке учета и предоставления в аренду движимого имущества, находящегося в собственности муниципального образования </w:t>
      </w:r>
      <w:proofErr w:type="spellStart"/>
      <w:r w:rsidR="00607369" w:rsidRPr="00607369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607369" w:rsidRPr="00607369">
        <w:rPr>
          <w:rFonts w:ascii="Times New Roman" w:hAnsi="Times New Roman" w:cs="Times New Roman"/>
          <w:sz w:val="28"/>
          <w:szCs w:val="28"/>
        </w:rPr>
        <w:t xml:space="preserve"> городское поселение,  утвержденным решением Совета депутатов </w:t>
      </w:r>
      <w:proofErr w:type="spellStart"/>
      <w:r w:rsidR="00607369" w:rsidRPr="0060736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7369" w:rsidRPr="00607369">
        <w:rPr>
          <w:rFonts w:ascii="Times New Roman" w:hAnsi="Times New Roman" w:cs="Times New Roman"/>
          <w:sz w:val="28"/>
          <w:szCs w:val="28"/>
        </w:rPr>
        <w:t xml:space="preserve"> городского поселения от 21.11.2007</w:t>
      </w:r>
      <w:proofErr w:type="gramEnd"/>
      <w:r w:rsidR="00607369" w:rsidRPr="00607369">
        <w:rPr>
          <w:rFonts w:ascii="Times New Roman" w:hAnsi="Times New Roman" w:cs="Times New Roman"/>
          <w:sz w:val="28"/>
          <w:szCs w:val="28"/>
        </w:rPr>
        <w:t xml:space="preserve"> № 41</w:t>
      </w:r>
      <w:r w:rsidR="00C70D87">
        <w:rPr>
          <w:rFonts w:ascii="Times New Roman" w:hAnsi="Times New Roman" w:cs="Times New Roman"/>
          <w:sz w:val="28"/>
          <w:szCs w:val="28"/>
        </w:rPr>
        <w:t xml:space="preserve">, </w:t>
      </w:r>
      <w:r w:rsidR="00B60997">
        <w:rPr>
          <w:rFonts w:ascii="Times New Roman" w:hAnsi="Times New Roman" w:cs="Times New Roman"/>
          <w:sz w:val="28"/>
          <w:szCs w:val="28"/>
        </w:rPr>
        <w:t xml:space="preserve">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proofErr w:type="spellStart"/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  <w:r w:rsidR="00607369" w:rsidRPr="00607369">
        <w:t xml:space="preserve"> </w:t>
      </w:r>
    </w:p>
    <w:p w:rsidR="00E85119" w:rsidRPr="00607369" w:rsidRDefault="00607369" w:rsidP="00607369">
      <w:pPr>
        <w:pStyle w:val="ab"/>
        <w:numPr>
          <w:ilvl w:val="0"/>
          <w:numId w:val="12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073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2199">
        <w:rPr>
          <w:rFonts w:ascii="Times New Roman" w:hAnsi="Times New Roman" w:cs="Times New Roman"/>
          <w:sz w:val="28"/>
          <w:szCs w:val="28"/>
        </w:rPr>
        <w:t>Порядок оценки эффективности использования недвижимого</w:t>
      </w:r>
      <w:r w:rsidRPr="0060736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42199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C70D87">
        <w:rPr>
          <w:rFonts w:ascii="Times New Roman" w:hAnsi="Times New Roman" w:cs="Times New Roman"/>
          <w:sz w:val="28"/>
          <w:szCs w:val="28"/>
        </w:rPr>
        <w:t xml:space="preserve"> </w:t>
      </w:r>
      <w:r w:rsidR="00D421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2199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D4219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60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36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F511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Pr="00607369">
        <w:rPr>
          <w:rFonts w:ascii="Times New Roman" w:hAnsi="Times New Roman" w:cs="Times New Roman"/>
          <w:sz w:val="28"/>
          <w:szCs w:val="28"/>
        </w:rPr>
        <w:t>д</w:t>
      </w:r>
      <w:r w:rsidR="003F511B">
        <w:rPr>
          <w:rFonts w:ascii="Times New Roman" w:hAnsi="Times New Roman" w:cs="Times New Roman"/>
          <w:sz w:val="28"/>
          <w:szCs w:val="28"/>
        </w:rPr>
        <w:t>с</w:t>
      </w:r>
      <w:r w:rsidR="00C70D87">
        <w:rPr>
          <w:rFonts w:ascii="Times New Roman" w:hAnsi="Times New Roman" w:cs="Times New Roman"/>
          <w:sz w:val="28"/>
          <w:szCs w:val="28"/>
        </w:rPr>
        <w:t>кой области (п</w:t>
      </w:r>
      <w:r w:rsidRPr="00607369">
        <w:rPr>
          <w:rFonts w:ascii="Times New Roman" w:hAnsi="Times New Roman" w:cs="Times New Roman"/>
          <w:sz w:val="28"/>
          <w:szCs w:val="28"/>
        </w:rPr>
        <w:t>риложение)</w:t>
      </w:r>
      <w:r w:rsidR="0067534F" w:rsidRPr="00607369">
        <w:rPr>
          <w:rFonts w:ascii="Times New Roman" w:hAnsi="Times New Roman" w:cs="Times New Roman"/>
          <w:sz w:val="28"/>
          <w:szCs w:val="28"/>
        </w:rPr>
        <w:t>.</w:t>
      </w:r>
    </w:p>
    <w:p w:rsidR="00607369" w:rsidRDefault="00607369" w:rsidP="0060736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C93E4E" w:rsidRDefault="00D42199" w:rsidP="00D42199">
      <w:pPr>
        <w:pStyle w:val="ab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 </w:t>
      </w:r>
      <w:proofErr w:type="gramStart"/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074FB8">
        <w:rPr>
          <w:rFonts w:ascii="Times New Roman" w:eastAsia="Calibri" w:hAnsi="Times New Roman" w:cs="Times New Roman"/>
          <w:color w:val="auto"/>
          <w:sz w:val="28"/>
          <w:szCs w:val="28"/>
        </w:rPr>
        <w:t>вопросу муниципального имущества, земельным отношениям, строительству, архитектуре, вопросам ЖКХ, благоустройства, энергетики и охраны окружающей среды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73458" w:rsidRDefault="00F73458" w:rsidP="004C6D9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42199" w:rsidRDefault="00D42199" w:rsidP="004C6D9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42199" w:rsidRPr="00C93E4E" w:rsidRDefault="00D42199" w:rsidP="004C6D9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Лужского</w:t>
      </w:r>
      <w:proofErr w:type="spellEnd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поселения,</w:t>
      </w:r>
    </w:p>
    <w:p w:rsidR="00074FB8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полномочия</w:t>
      </w:r>
      <w:r w:rsidR="00074F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председателя</w:t>
      </w:r>
    </w:p>
    <w:p w:rsidR="00B579C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Совета депутатов                                                          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074F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В.А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Голуб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074FB8" w:rsidRDefault="00074FB8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199" w:rsidRDefault="00D42199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42199" w:rsidRDefault="00D42199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4F7E2F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4597" w:rsidRPr="00AA45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59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A459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</w:t>
      </w:r>
      <w:r w:rsidR="00D14D02">
        <w:rPr>
          <w:rFonts w:ascii="Times New Roman" w:hAnsi="Times New Roman" w:cs="Times New Roman"/>
          <w:sz w:val="28"/>
          <w:szCs w:val="28"/>
        </w:rPr>
        <w:t xml:space="preserve">      </w:t>
      </w:r>
      <w:r w:rsidR="004F7E2F">
        <w:rPr>
          <w:rFonts w:ascii="Times New Roman" w:hAnsi="Times New Roman" w:cs="Times New Roman"/>
          <w:sz w:val="28"/>
          <w:szCs w:val="28"/>
        </w:rPr>
        <w:t xml:space="preserve">                   Ю</w:t>
      </w:r>
      <w:r w:rsidR="00D14D02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4F7E2F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4F2" w:rsidRPr="002844F2" w:rsidRDefault="002844F2" w:rsidP="002844F2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color w:val="auto"/>
          <w:sz w:val="26"/>
          <w:szCs w:val="26"/>
        </w:rPr>
      </w:pPr>
      <w:r w:rsidRPr="002844F2">
        <w:rPr>
          <w:rFonts w:ascii="Times New Roman" w:eastAsia="Times New Roman" w:hAnsi="Times New Roman" w:cs="Times New Roman"/>
          <w:color w:val="auto"/>
          <w:sz w:val="26"/>
          <w:szCs w:val="26"/>
        </w:rPr>
        <w:t>Первый заместитель г</w:t>
      </w:r>
      <w:r w:rsidRPr="002844F2">
        <w:rPr>
          <w:rFonts w:ascii="Times New Roman" w:eastAsia="Times New Roman" w:hAnsi="Times New Roman" w:cs="Calibri"/>
          <w:color w:val="auto"/>
          <w:sz w:val="26"/>
          <w:szCs w:val="26"/>
        </w:rPr>
        <w:t>лавы</w:t>
      </w:r>
    </w:p>
    <w:p w:rsidR="002844F2" w:rsidRPr="002844F2" w:rsidRDefault="002844F2" w:rsidP="002844F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44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Лужского </w:t>
      </w:r>
    </w:p>
    <w:p w:rsidR="002844F2" w:rsidRPr="002844F2" w:rsidRDefault="002844F2" w:rsidP="002844F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44F2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 района  -</w:t>
      </w:r>
    </w:p>
    <w:p w:rsidR="00AA4597" w:rsidRDefault="002844F2" w:rsidP="002844F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44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председатель КУМИ                                                                                     А.В. </w:t>
      </w:r>
      <w:proofErr w:type="gramStart"/>
      <w:r w:rsidRPr="002844F2">
        <w:rPr>
          <w:rFonts w:ascii="Times New Roman" w:eastAsia="Times New Roman" w:hAnsi="Times New Roman" w:cs="Times New Roman"/>
          <w:color w:val="auto"/>
          <w:sz w:val="26"/>
          <w:szCs w:val="26"/>
        </w:rPr>
        <w:t>Голуб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ев</w:t>
      </w:r>
      <w:proofErr w:type="gramEnd"/>
    </w:p>
    <w:p w:rsidR="003F511B" w:rsidRPr="00AA4597" w:rsidRDefault="003F511B" w:rsidP="0028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 w:rsidRPr="00AA4597">
        <w:rPr>
          <w:rFonts w:ascii="Times New Roman" w:hAnsi="Times New Roman" w:cs="Times New Roman"/>
          <w:sz w:val="28"/>
          <w:szCs w:val="28"/>
        </w:rPr>
        <w:t xml:space="preserve">Заместитель  председателя комитета </w:t>
      </w: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 w:rsidRPr="00AA4597">
        <w:rPr>
          <w:rFonts w:ascii="Times New Roman" w:hAnsi="Times New Roman" w:cs="Times New Roman"/>
          <w:sz w:val="28"/>
          <w:szCs w:val="28"/>
        </w:rPr>
        <w:t xml:space="preserve">по управлению    </w:t>
      </w:r>
      <w:proofErr w:type="gramStart"/>
      <w:r w:rsidRPr="00AA459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A4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 w:rsidRPr="00AA4597">
        <w:rPr>
          <w:rFonts w:ascii="Times New Roman" w:hAnsi="Times New Roman" w:cs="Times New Roman"/>
          <w:sz w:val="28"/>
          <w:szCs w:val="28"/>
        </w:rPr>
        <w:t xml:space="preserve">имуществом Лужского </w:t>
      </w:r>
    </w:p>
    <w:p w:rsid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 w:rsidRPr="00AA45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A4597">
        <w:rPr>
          <w:rFonts w:ascii="Times New Roman" w:hAnsi="Times New Roman" w:cs="Times New Roman"/>
          <w:sz w:val="28"/>
          <w:szCs w:val="28"/>
        </w:rPr>
        <w:tab/>
      </w:r>
      <w:r w:rsidRPr="00AA4597">
        <w:rPr>
          <w:rFonts w:ascii="Times New Roman" w:hAnsi="Times New Roman" w:cs="Times New Roman"/>
          <w:sz w:val="28"/>
          <w:szCs w:val="28"/>
        </w:rPr>
        <w:tab/>
      </w:r>
      <w:r w:rsidRPr="00AA4597">
        <w:rPr>
          <w:rFonts w:ascii="Times New Roman" w:hAnsi="Times New Roman" w:cs="Times New Roman"/>
          <w:sz w:val="28"/>
          <w:szCs w:val="28"/>
        </w:rPr>
        <w:tab/>
      </w:r>
      <w:r w:rsidRPr="00AA4597">
        <w:rPr>
          <w:rFonts w:ascii="Times New Roman" w:hAnsi="Times New Roman" w:cs="Times New Roman"/>
          <w:sz w:val="28"/>
          <w:szCs w:val="28"/>
        </w:rPr>
        <w:tab/>
      </w:r>
      <w:r w:rsidRPr="00AA45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4C3C">
        <w:rPr>
          <w:rFonts w:ascii="Times New Roman" w:hAnsi="Times New Roman" w:cs="Times New Roman"/>
          <w:sz w:val="28"/>
          <w:szCs w:val="28"/>
        </w:rPr>
        <w:t xml:space="preserve">   </w:t>
      </w:r>
      <w:r w:rsidRPr="00AA4597">
        <w:rPr>
          <w:rFonts w:ascii="Times New Roman" w:hAnsi="Times New Roman" w:cs="Times New Roman"/>
          <w:sz w:val="28"/>
          <w:szCs w:val="28"/>
        </w:rPr>
        <w:t xml:space="preserve">          С.В. </w:t>
      </w:r>
      <w:proofErr w:type="spellStart"/>
      <w:r w:rsidRPr="00AA4597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</w:p>
    <w:p w:rsidR="003F511B" w:rsidRPr="00AA4597" w:rsidRDefault="003F511B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F95B97" w:rsidRDefault="003F511B" w:rsidP="00AA459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Заведующий юридическим отделом</w:t>
      </w:r>
    </w:p>
    <w:p w:rsidR="00AA4597" w:rsidRPr="00F95B97" w:rsidRDefault="00AA4597" w:rsidP="00AA459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F95B97">
        <w:rPr>
          <w:rFonts w:ascii="Times New Roman" w:hAnsi="Times New Roman" w:cs="Times New Roman"/>
          <w:color w:val="auto"/>
          <w:sz w:val="28"/>
          <w:szCs w:val="28"/>
        </w:rPr>
        <w:t>Лужского</w:t>
      </w:r>
      <w:proofErr w:type="gramEnd"/>
      <w:r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4597" w:rsidRPr="00F95B97" w:rsidRDefault="00AA4597" w:rsidP="00AA459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                               </w:t>
      </w:r>
      <w:r w:rsidR="00D14D02"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14C3C"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D14D02"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3F511B">
        <w:rPr>
          <w:rFonts w:ascii="Times New Roman" w:hAnsi="Times New Roman" w:cs="Times New Roman"/>
          <w:color w:val="auto"/>
          <w:sz w:val="28"/>
          <w:szCs w:val="28"/>
        </w:rPr>
        <w:t xml:space="preserve"> О.В</w:t>
      </w:r>
      <w:r w:rsidRPr="00F95B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3F511B">
        <w:rPr>
          <w:rFonts w:ascii="Times New Roman" w:hAnsi="Times New Roman" w:cs="Times New Roman"/>
          <w:color w:val="auto"/>
          <w:sz w:val="28"/>
          <w:szCs w:val="28"/>
        </w:rPr>
        <w:t>Лаас</w:t>
      </w:r>
      <w:proofErr w:type="spellEnd"/>
    </w:p>
    <w:p w:rsidR="00AA4597" w:rsidRPr="00F95B97" w:rsidRDefault="00AA4597" w:rsidP="00AA45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A4597" w:rsidRPr="00B54B18" w:rsidRDefault="00AA4597" w:rsidP="00AA459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597" w:rsidRPr="00DE49A9" w:rsidRDefault="004F7E2F" w:rsidP="00AA4597">
      <w:pPr>
        <w:pStyle w:val="ae"/>
        <w:spacing w:before="0" w:after="0"/>
        <w:rPr>
          <w:rStyle w:val="af"/>
          <w:b w:val="0"/>
          <w:sz w:val="28"/>
          <w:szCs w:val="28"/>
        </w:rPr>
      </w:pPr>
      <w:r w:rsidRPr="00DE49A9">
        <w:rPr>
          <w:rStyle w:val="af"/>
          <w:b w:val="0"/>
          <w:sz w:val="28"/>
          <w:szCs w:val="28"/>
        </w:rPr>
        <w:t>З</w:t>
      </w:r>
      <w:r w:rsidR="00AA4597" w:rsidRPr="00DE49A9">
        <w:rPr>
          <w:rStyle w:val="af"/>
          <w:b w:val="0"/>
          <w:sz w:val="28"/>
          <w:szCs w:val="28"/>
        </w:rPr>
        <w:t>аведующий  отделом  недвижимости</w:t>
      </w:r>
    </w:p>
    <w:p w:rsidR="00AA4597" w:rsidRPr="00DE49A9" w:rsidRDefault="00AA4597" w:rsidP="00AA4597">
      <w:pPr>
        <w:pStyle w:val="ae"/>
        <w:spacing w:before="0" w:after="0"/>
        <w:rPr>
          <w:rStyle w:val="af"/>
          <w:b w:val="0"/>
          <w:sz w:val="28"/>
          <w:szCs w:val="28"/>
        </w:rPr>
      </w:pPr>
      <w:r w:rsidRPr="00DE49A9">
        <w:rPr>
          <w:rStyle w:val="af"/>
          <w:b w:val="0"/>
          <w:sz w:val="28"/>
          <w:szCs w:val="28"/>
        </w:rPr>
        <w:t>администрации</w:t>
      </w:r>
      <w:r w:rsidRPr="00DE49A9">
        <w:rPr>
          <w:sz w:val="28"/>
          <w:szCs w:val="28"/>
        </w:rPr>
        <w:t xml:space="preserve"> </w:t>
      </w:r>
      <w:proofErr w:type="gramStart"/>
      <w:r w:rsidRPr="00DE49A9">
        <w:rPr>
          <w:rStyle w:val="af"/>
          <w:b w:val="0"/>
          <w:sz w:val="28"/>
          <w:szCs w:val="28"/>
        </w:rPr>
        <w:t>Лужского</w:t>
      </w:r>
      <w:proofErr w:type="gramEnd"/>
    </w:p>
    <w:p w:rsidR="00AA4597" w:rsidRPr="00DE49A9" w:rsidRDefault="00AA4597" w:rsidP="00AA4597">
      <w:pPr>
        <w:pStyle w:val="ae"/>
        <w:spacing w:before="0" w:after="0"/>
        <w:rPr>
          <w:rStyle w:val="af"/>
          <w:b w:val="0"/>
          <w:sz w:val="28"/>
          <w:szCs w:val="28"/>
        </w:rPr>
      </w:pPr>
      <w:r w:rsidRPr="00DE49A9">
        <w:rPr>
          <w:rStyle w:val="af"/>
          <w:b w:val="0"/>
          <w:sz w:val="28"/>
          <w:szCs w:val="28"/>
        </w:rPr>
        <w:t xml:space="preserve">муниципального района                                 </w:t>
      </w:r>
      <w:r w:rsidR="00041E43" w:rsidRPr="00DE49A9">
        <w:rPr>
          <w:rStyle w:val="af"/>
          <w:b w:val="0"/>
          <w:sz w:val="28"/>
          <w:szCs w:val="28"/>
        </w:rPr>
        <w:t xml:space="preserve">                      </w:t>
      </w:r>
      <w:r w:rsidR="00D14C3C" w:rsidRPr="00DE49A9">
        <w:rPr>
          <w:rStyle w:val="af"/>
          <w:b w:val="0"/>
          <w:sz w:val="28"/>
          <w:szCs w:val="28"/>
        </w:rPr>
        <w:t xml:space="preserve">      </w:t>
      </w:r>
      <w:r w:rsidR="00041E43" w:rsidRPr="00DE49A9">
        <w:rPr>
          <w:rStyle w:val="af"/>
          <w:b w:val="0"/>
          <w:sz w:val="28"/>
          <w:szCs w:val="28"/>
        </w:rPr>
        <w:t xml:space="preserve">   </w:t>
      </w:r>
      <w:r w:rsidRPr="00DE49A9">
        <w:rPr>
          <w:rStyle w:val="af"/>
          <w:b w:val="0"/>
          <w:sz w:val="28"/>
          <w:szCs w:val="28"/>
        </w:rPr>
        <w:t xml:space="preserve"> </w:t>
      </w:r>
      <w:r w:rsidR="00041E43" w:rsidRPr="00DE49A9">
        <w:rPr>
          <w:rStyle w:val="af"/>
          <w:b w:val="0"/>
          <w:sz w:val="28"/>
          <w:szCs w:val="28"/>
        </w:rPr>
        <w:t>А.М. Румянцева</w:t>
      </w:r>
    </w:p>
    <w:p w:rsidR="00AA4597" w:rsidRPr="00DE49A9" w:rsidRDefault="00AA4597" w:rsidP="00AA45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A4597" w:rsidRPr="00AA4597" w:rsidRDefault="00AA4597" w:rsidP="00AA4597">
      <w:pPr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 w:rsidRPr="00AA4597">
        <w:rPr>
          <w:rFonts w:ascii="Times New Roman" w:hAnsi="Times New Roman" w:cs="Times New Roman"/>
          <w:sz w:val="28"/>
          <w:szCs w:val="28"/>
        </w:rPr>
        <w:t xml:space="preserve">Проект подготовлен:  ______________________ </w:t>
      </w:r>
      <w:r w:rsidR="004F7E2F">
        <w:rPr>
          <w:rFonts w:ascii="Times New Roman" w:hAnsi="Times New Roman" w:cs="Times New Roman"/>
          <w:sz w:val="28"/>
          <w:szCs w:val="28"/>
        </w:rPr>
        <w:t xml:space="preserve"> </w:t>
      </w:r>
      <w:r w:rsidR="00B54B18">
        <w:rPr>
          <w:rFonts w:ascii="Times New Roman" w:hAnsi="Times New Roman" w:cs="Times New Roman"/>
          <w:sz w:val="28"/>
          <w:szCs w:val="28"/>
        </w:rPr>
        <w:t>Савкина А.С</w:t>
      </w:r>
      <w:r w:rsidR="004F7E2F">
        <w:rPr>
          <w:rFonts w:ascii="Times New Roman" w:hAnsi="Times New Roman" w:cs="Times New Roman"/>
          <w:sz w:val="28"/>
          <w:szCs w:val="28"/>
        </w:rPr>
        <w:t>.</w:t>
      </w:r>
      <w:r w:rsidRPr="00AA45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BC8" w:rsidRPr="00AA4597" w:rsidRDefault="00C36BC8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Pr="00AA4597" w:rsidRDefault="004F7E2F" w:rsidP="00AA4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сдан в С</w:t>
      </w:r>
      <w:r w:rsidR="00AA4597" w:rsidRPr="00AA4597">
        <w:rPr>
          <w:rFonts w:ascii="Times New Roman" w:hAnsi="Times New Roman" w:cs="Times New Roman"/>
          <w:sz w:val="28"/>
          <w:szCs w:val="28"/>
        </w:rPr>
        <w:t>овет депутатов Лужского городского посе</w:t>
      </w:r>
      <w:r w:rsidR="00074FB8">
        <w:rPr>
          <w:rFonts w:ascii="Times New Roman" w:hAnsi="Times New Roman" w:cs="Times New Roman"/>
          <w:sz w:val="28"/>
          <w:szCs w:val="28"/>
        </w:rPr>
        <w:t>ления ____________________ 2024</w:t>
      </w:r>
      <w:r w:rsidR="00AA4597" w:rsidRPr="00AA459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A4597" w:rsidRP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Default="00AA4597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9F224E" w:rsidRPr="00AA4597" w:rsidRDefault="009F224E" w:rsidP="00AA4597">
      <w:pPr>
        <w:rPr>
          <w:rFonts w:ascii="Times New Roman" w:hAnsi="Times New Roman" w:cs="Times New Roman"/>
          <w:sz w:val="28"/>
          <w:szCs w:val="28"/>
        </w:rPr>
      </w:pPr>
    </w:p>
    <w:p w:rsidR="00A85C94" w:rsidRDefault="003F511B" w:rsidP="003F511B">
      <w:pPr>
        <w:rPr>
          <w:rFonts w:ascii="Times New Roman" w:hAnsi="Times New Roman" w:cs="Times New Roman"/>
          <w:sz w:val="28"/>
          <w:szCs w:val="28"/>
        </w:rPr>
        <w:sectPr w:rsidR="00A85C94" w:rsidSect="00041E4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Разослано: КУМИ-3</w:t>
      </w:r>
      <w:r w:rsidR="00BE0ACC" w:rsidRPr="00AA4597">
        <w:rPr>
          <w:rFonts w:ascii="Times New Roman" w:hAnsi="Times New Roman" w:cs="Times New Roman"/>
          <w:sz w:val="28"/>
          <w:szCs w:val="28"/>
        </w:rPr>
        <w:t>,  Совет депутатов,</w:t>
      </w:r>
      <w:r w:rsidR="004F7E2F">
        <w:rPr>
          <w:rFonts w:ascii="Times New Roman" w:hAnsi="Times New Roman" w:cs="Times New Roman"/>
          <w:sz w:val="28"/>
          <w:szCs w:val="28"/>
        </w:rPr>
        <w:t xml:space="preserve"> прокуратура</w:t>
      </w:r>
    </w:p>
    <w:p w:rsidR="007045B1" w:rsidRDefault="007045B1" w:rsidP="00704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045B1" w:rsidRDefault="007045B1" w:rsidP="00704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045B1" w:rsidRDefault="007045B1" w:rsidP="007045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045B1" w:rsidRDefault="007045B1" w:rsidP="00704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____________2024 г. №_____</w:t>
      </w:r>
    </w:p>
    <w:p w:rsidR="007045B1" w:rsidRDefault="007045B1" w:rsidP="00704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7045B1" w:rsidRDefault="007045B1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7045B1" w:rsidRPr="007045B1" w:rsidRDefault="007045B1" w:rsidP="007045B1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оценки эффективности использования недвижимого имущества,</w:t>
      </w:r>
    </w:p>
    <w:p w:rsidR="007045B1" w:rsidRPr="007045B1" w:rsidRDefault="007045B1" w:rsidP="007045B1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находящегося в собственности муниципального образования</w:t>
      </w:r>
    </w:p>
    <w:p w:rsidR="007045B1" w:rsidRPr="007045B1" w:rsidRDefault="007045B1" w:rsidP="007045B1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keepNext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оценки эффективности использования недвижимого имущества, находящегося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 (далее – Порядок) разработан в соответствии с методикой определения критериев оптимальности состава муниципального имущества и показателей эффективности управления и распоряжения им, утвержденной распоряжением Правительства Российской Федерации от 12.10.2020 № 2645-р (далее – методика), и устанавливает:</w:t>
      </w:r>
      <w:proofErr w:type="gramEnd"/>
    </w:p>
    <w:p w:rsidR="007045B1" w:rsidRPr="007045B1" w:rsidRDefault="007045B1" w:rsidP="007045B1">
      <w:pPr>
        <w:keepNext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порядок оценки эффективности использования муниципального имущества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(далее – муниципальное имущество), закрепленного на праве хозяйственного ведения (праве оперативного управления) за муниципальными унитарными предприятиями (далее – предприятия) и муниципальными автономными, бюджетными и казенными учреждениями (далее – учреждения), а также земельных участков, предоставленных учреждениям на праве постоянного (бессрочного) пользования или безвозмездного пользования, и земельных участков, предоставленных предприятиям на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праве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аренды;</w:t>
      </w:r>
    </w:p>
    <w:p w:rsidR="007045B1" w:rsidRPr="007045B1" w:rsidRDefault="007045B1" w:rsidP="007045B1">
      <w:pPr>
        <w:keepNext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порядок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эффективности использования недвижимого имущества казны муниципального образования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области, в том числе земельных участков;</w:t>
      </w:r>
    </w:p>
    <w:p w:rsidR="007045B1" w:rsidRPr="007045B1" w:rsidRDefault="007045B1" w:rsidP="007045B1">
      <w:pPr>
        <w:keepNext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порядок оценки оптимальности нахождения в собственности муниципального образования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 акций (долей) хозяйственных обществ;</w:t>
      </w:r>
    </w:p>
    <w:p w:rsidR="007045B1" w:rsidRPr="007045B1" w:rsidRDefault="007045B1" w:rsidP="007045B1">
      <w:pPr>
        <w:keepNext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порядок оценки оптимальности нахождения муниципального имущества, закрепленного на праве хозяйственного ведения (оперативного управления) за предприятиями (учреждениями), и оценки эффективности предприятия (учреждения).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эффективности использования недвижимого имущества, находящегося в собственности муниципального образования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кого</w:t>
      </w:r>
      <w:proofErr w:type="spellEnd"/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53079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области, осуществляется комитетом по управлению муниципальным имуществом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администрации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(далее – КУМИ).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использования акций (долей) хозяйственных обществ, находящихся в собственности муниципального образования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Ленинградской области осуществляется в соответствии с представленной хозяйственными обществами информацией о своей деятельности, предусмотренной таблицей 1.</w:t>
      </w:r>
      <w:proofErr w:type="gramEnd"/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КУМИ формирует отчет, согласно таблице 2, и передает на подпись уполномоченному лицу администрации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района, осуществляющему оперативное руководство и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хозяйственного общества.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3.1. Критерием оптимальности нахождения в собственности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акций (долей) хозяйственных обществ является достижение последними значения показателя эффективности 80 баллов и более.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3.2. Если по результатам анализа будет установлено, что значение показателей эффективности хозяйственного общества в отчетном периоде – истекшем календарном году (с 1 января по 31 декабря включительно) не достигло 80 баллов и более, анализируются также показатели за 2 года, предшествующие отчетному периоду.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При значении показателя эффективности хозяйственного общества менее 50 баллов Собственник имущества в установленном порядке осуществляет подготовку предложений о включении пакета акций (долей) хозяйственного общества в прогнозный план (программу) приватизации.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3.3. В прогнозный план (программу) приватизации не включаются акции (доли) хозяйственных обществ: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включенных в перечень стратегических предприятий и стратегических акционерных обществ, утвержденный Указом Президента Российской Федерации от 04.08.2004 № 1009 «Об утверждении перечня стратегических предприятий и стратегических акционерных обществ»;</w:t>
      </w:r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включенных в сводный реестр организаций оборонно-промышленного комплекса, формируемый в соответствии с постановлением Правительства Российской Федерации 20.02.2004 № 96 «О сводном реестре организаций оборонно-промышленного комплекса»;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в уставном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капитале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законодательством Российской Федерации предусмотрено 100-процентное участие публично-правовых образований;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доля дивидендных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поступлений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в местный бюджет составляет 10% и более общего объема неналоговых доходов от использования имущества, находящегося в муниципальной собственности;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которые находятся в процессе ликвидации и в отношении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введена процедура банкротства;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в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налоговыми органами приняты решения о предстоящем исключении из Единого государственного реестра юридических лиц в соответствии со статьей 21.1 Федерального закона «О государственной регистрации юридических лиц и индивидуальных предпринимателей».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Оценка эффективности муниципального имущества, закрепленного на праве хозяйственного ведения за муниципальными унитарными предприятиями (далее – предприятия), осуществляется в соответствии с представленной предприятиями отчетностью, предусмотренной таблицами 3, 12.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4.1. В случае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в ходе оценки оптимальности нахождения в муниципальной собственности имущества, закрепленного за предприятием, выявляется излишнее, неиспользуемое или используемое не по назначению имущество (за исключением недвижимого имущества, ограниченного в обороте), предприятие организует проведение следующих мероприятий: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продажа и т.д.);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 списанию недвижимого имущества в случае невозможности его дальнейшего использования (вовлечения в хозяйственный оборот) в соответствии с Положением о порядке списания муниципального имущества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области, утвержденным решением С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овета депутатов 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19.04.2012 № 138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По результатам проведенных мероприятий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предприятие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 в КУМИ информацию о проделанной работе по вовлечению в хозяйственный оборот (либо списанию) имущества, выявленного за период, предшествующий отчетному, в соответствии с таблицей 12.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В случае невозможности вовлечения в хозяйственный оборот неиспользуемого недвижимого имущества, закрепленного за предприятием на праве хозяйственного ведения, а также его списания,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предприятие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 в КУМИ пояснительную записку о причинах невозможности вовлечения в хозяйственный оборот неиспользуемого недвижимого имущества, а также его списания.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5. Оценка эффективности муниципального имущества, закрепленного на праве оперативного управления за муниципальными автономными, бюджетными и казенными учреждениями (далее – учреждения), осуществляется в соответствии с формами отчетности, предусмотренными таблицами 4-7, 12.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5.1. В случае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в ходе оценки оптимальности нахождения в муниципальной собственности имущества, закрепленного за учреждением,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имущество, а также при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недостижении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установленного показателя учреждение организует проведение следующих мероприятий: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в хозяйственное ведение (оперативное управление) иному предприятию (учреждению), продажа и т.д.);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 списанию недвижимого имущества в случае невозможности его дальнейшего использования (вовлечения в хозяйственный оборот) в соответствии с Положением о порядке списания муниципального имущества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муниципального района Ленинградской области, утвержденным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</w:t>
      </w:r>
      <w:r w:rsidR="00555564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овета депутатов  </w:t>
      </w:r>
      <w:proofErr w:type="spellStart"/>
      <w:r w:rsidR="00555564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="00555564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r w:rsidR="00555564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19.04.2012 № 138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По результатам проведенных мероприятий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 в КУМИ информацию о проделанной работе по вовлечению в хозяйственный оборот (либо списанию) имущества, выявленного за период, предшествующий отчетному, в соответствии с таблицей 12.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В случае невозможности вовлечения в хозяйственный оборот неиспользуемого недвижимого имущества, а также его списания,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 в КУМИ предложение об изъятии такого имущества с приложением пояснительной записки о причинах невозможности вовлечения в хозяйственный оборот неиспользуемого недвижимого имущества, а также его списания.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КУМИ в течение 30 календарных дней со дня направления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учреждением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предложения об изъятии излишнего, неиспользуемого или используемого не по назначению имущества, закрепленного за предприятием (учреждением), рассматривает указанное предложение и принимает решение об изъятии имущества либо об отказе в изъятии имущества и необходимости проведения мероприятий по вовлечению в хозяйственный оборот или списанию.</w:t>
      </w:r>
      <w:proofErr w:type="gramEnd"/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Оценка оптимальности состава и количества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недвижимого 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КУМИ в соответствии с формами отчетности, предусмотренными таблицами 8-10.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Критерием оптимальности состава и количества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недвижимого 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их использование для реализации функций и полномочий органов местного самоуправления.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если объекты недвижимого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используются для указанных целей, в отношении таких объектов рекомендуется принять решение: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о передаче из муниципальной собственности в федеральную собственность или собственность субъекта Российской Федерации (далее – передача на иной уровень собственности);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о реализации земельных участков в соответствии с Земельным кодексом Российской Федерации;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о приватизации.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Анализ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эффективности использования недвижимого имущества казны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по следующим показателям эффективности: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показатели эффективности передачи на безвозмездной основе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недвижимого 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имущественной поддержки некоммерческим организациям;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показатели, характеризующие эффективность управления и распоряжения объектами недвижимого 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области, которые включены в перечни имущества, предоставляемого субъектам малого и среднего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предпринимательства и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– показатели, характеризующие эффективность управления и распоряжения земельными участками.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Отчетность составляется по каждому объекту недвижимого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имущества казны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данных бюджетной отчетности.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 Оценка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показателей эффективности использования объектов недвижимого имущества казны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КУМИ. При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недостижении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пороговых значений показателей эффективности КУМИ осуществляется подготовка плана повышения эффективности управления и распоряжения недвижимым имуществом</w:t>
      </w:r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с указанием конкретных объектов, по которым в плановом периоде может предусматриваться: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1) вовлечение в инфраструктурные проекты и отношения, связанные с инвестиционной деятельностью;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2) закрепление за органами местного самоуправления;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3)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4) передача на иной уровень собственности;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5) мероприятия по предоставлению земельных участков в соответствии с Земельным кодексом Российской Федерации;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6) реализация земельных участков в соответствии с Земельным кодексом Российской Федерации;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7) приватизация.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Анализ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эффективности приватизации недвижимого имущества казны </w:t>
      </w:r>
      <w:proofErr w:type="spellStart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555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соответствии с формой отчетности, предусмотренной таблицей 11.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045B1" w:rsidRPr="007045B1" w:rsidTr="007045B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1" w:name="P143"/>
            <w:bookmarkEnd w:id="1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Информация о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____________________________________________________за _____ год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хозяйственного общества</w:t>
            </w: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10"/>
        <w:gridCol w:w="1275"/>
        <w:gridCol w:w="2268"/>
      </w:tblGrid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 экономической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(согласно ОКВЭД-2)</w:t>
            </w:r>
          </w:p>
        </w:tc>
        <w:tc>
          <w:tcPr>
            <w:tcW w:w="32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ОКАТО</w:t>
            </w:r>
          </w:p>
        </w:tc>
        <w:tc>
          <w:tcPr>
            <w:tcW w:w="32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32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ОКФС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ИНН/КПП</w:t>
            </w:r>
          </w:p>
        </w:tc>
        <w:tc>
          <w:tcPr>
            <w:tcW w:w="32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54"/>
        <w:gridCol w:w="1418"/>
        <w:gridCol w:w="1275"/>
      </w:tblGrid>
      <w:tr w:rsidR="007045B1" w:rsidRPr="007045B1" w:rsidTr="007045B1">
        <w:tc>
          <w:tcPr>
            <w:tcW w:w="4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N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5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7045B1" w:rsidRPr="007045B1" w:rsidTr="007045B1">
        <w:tc>
          <w:tcPr>
            <w:tcW w:w="4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активов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4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проданных товаров (продукции, работ, услуг)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4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5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чистой прибыли, направляемой на выплату дивидендов</w:t>
            </w:r>
          </w:p>
        </w:tc>
        <w:tc>
          <w:tcPr>
            <w:tcW w:w="141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4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55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Выполнение ключевых показателей эффективности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хозяйственного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общества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3"/>
        <w:gridCol w:w="1701"/>
        <w:gridCol w:w="340"/>
        <w:gridCol w:w="3855"/>
      </w:tblGrid>
      <w:tr w:rsidR="007045B1" w:rsidRPr="007045B1" w:rsidTr="007045B1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(ФИО руководителя)</w:t>
            </w: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активов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 xml:space="preserve">рентабельность активов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>отраслевая рентабельность активов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 х 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D62FFD" w:rsidP="007045B1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m:oMathPara>
        <m:oMath>
          <m:eqArr>
            <m:eqArr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 xml:space="preserve">рентабельность активов </m:t>
              </m:r>
            </m:e>
            <m:e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>хозяйственного общества</m:t>
              </m:r>
            </m:e>
          </m:eqArr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прибыль (убыток)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стоимость активов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проданных товаров (продукции, работ, услуг)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</w:rPr>
            <m:t>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хозяйственного общества=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убыток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от продаж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 учетом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расходов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Показатели установлены в соответствии с распоряжением Правительства РФ от 27.06.2019 № 1388-р. Для хозяйственных обществ, которым ключевые показатели эффективности не установлены, в аналогичном порядке рассчитывается показатель выполнения программы деятельности на отчетный год, утвержденной единоличным исполнительным органом общества.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4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баллов производится по следующим критериям: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253"/>
        <w:gridCol w:w="1275"/>
      </w:tblGrid>
      <w:tr w:rsidR="007045B1" w:rsidRPr="007045B1" w:rsidTr="007045B1">
        <w:tc>
          <w:tcPr>
            <w:tcW w:w="417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7045B1" w:rsidRPr="007045B1" w:rsidTr="007045B1">
        <w:tc>
          <w:tcPr>
            <w:tcW w:w="4173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активов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проданных товаров (продукции, работ, услуг)</w:t>
            </w: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85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045B1" w:rsidRPr="007045B1" w:rsidTr="007045B1">
        <w:tc>
          <w:tcPr>
            <w:tcW w:w="4173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86 (86 = 1 балл, 87 = 2 балла и т.д.)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</w:tc>
      </w:tr>
      <w:tr w:rsidR="007045B1" w:rsidRPr="007045B1" w:rsidTr="007045B1">
        <w:tc>
          <w:tcPr>
            <w:tcW w:w="4173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110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173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чистой прибыли, направляемой на выплату дивидендов</w:t>
            </w: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25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045B1" w:rsidRPr="007045B1" w:rsidTr="007045B1">
        <w:tc>
          <w:tcPr>
            <w:tcW w:w="4173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26 (26 = 1 балл, 27 = 2 балла и т.д.)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</w:tc>
      </w:tr>
      <w:tr w:rsidR="007045B1" w:rsidRPr="007045B1" w:rsidTr="007045B1">
        <w:tc>
          <w:tcPr>
            <w:tcW w:w="4173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50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173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ключевых показателей эффективности хозяйственного общества (программы деятельности на отчетный год, утвержденной советом директоров (наблюдательным советом) хозяйственного общества)</w:t>
            </w: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75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045B1" w:rsidRPr="007045B1" w:rsidTr="007045B1">
        <w:tc>
          <w:tcPr>
            <w:tcW w:w="4173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75 (76 = 1 балл, 77 = 2 балла и т.д.)</w:t>
            </w: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акций (долей) хозяйственного общества,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акции (доли)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которого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принадлежат муниципальному образованию</w:t>
      </w:r>
    </w:p>
    <w:p w:rsidR="007045B1" w:rsidRPr="007045B1" w:rsidRDefault="004D58BD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7045B1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7045B1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045B1"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51"/>
        <w:gridCol w:w="1276"/>
        <w:gridCol w:w="2126"/>
      </w:tblGrid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Уполномоченное лицо администрации, осуществляющее 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хозяйственного общества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хозяйственного общества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ОКАТО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Вид экономической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(согласно ОКВЭД-2)</w:t>
            </w:r>
          </w:p>
        </w:tc>
        <w:tc>
          <w:tcPr>
            <w:tcW w:w="3351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389"/>
        </w:trPr>
        <w:tc>
          <w:tcPr>
            <w:tcW w:w="2948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ОКФС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2126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ИНН/КПП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77"/>
        <w:gridCol w:w="2835"/>
        <w:gridCol w:w="1701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активов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85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86 (86 = 1 балл, 87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110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проданных товаров (продукции, работ, услуг)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85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86 (86 = 1 балл, 87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110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чистой прибыли, направляемой на выплату дивидендов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25 (26 = 1 балл, 27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50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ключевых показателей эффективности хозяйственного общества (программы деятельности на отчетный год, утвержденной советом директоров (наблюдательным советом) хозяйственного общества)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75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75 (76 = 1 балл, 77 = 2 балла и т.д.)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района Ленинградской области, ответственного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за составление отчета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Уполномоченное лицо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администрации,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осуществляющее</w:t>
      </w:r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руководство и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хозяйственного общества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активов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 xml:space="preserve">рентабельность активов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>отраслевая рентабельность активов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 х 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spacing w:after="200" w:line="276" w:lineRule="auto"/>
        <w:ind w:left="-1134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рентабельность активов хозяйственного общества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прибыль (убыток)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стоимость активов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проданных товаров (продукции, работ, услуг)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</w:rPr>
            <m:t>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2"/>
                      <w:szCs w:val="22"/>
                      <w:lang w:eastAsia="en-US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  <w:sz w:val="22"/>
                      <w:szCs w:val="22"/>
                      <w:lang w:eastAsia="en-US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lang w:eastAsia="en-US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 w:val="22"/>
              <w:szCs w:val="22"/>
              <w:lang w:eastAsia="en-US"/>
            </w:rPr>
            <m:t>хозяйственного общества=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убыток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от продаж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 учетом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расходов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ля хозяйственных обществ, направляющих на выплату дивидендов менее 25% чистой прибыли по решению органа местного самоуправления, оценка показателя принимается в размере 0 баллов.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4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Показатели установлены в соответствии с распоряжением Правительства РФ от 27.06.2019 № 1388-р. Для хозяйственных обществ, которым ключевые показатели эффективности не установлены, в аналогичном порядке рассчитывается показатель выполнения программы деятельности на отчетный год, утвержденной советом директоров (наблюдательного совета) хозяйственного общества.</w:t>
      </w: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унитарного предприятия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51"/>
        <w:gridCol w:w="1276"/>
        <w:gridCol w:w="2126"/>
      </w:tblGrid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Отраслевой  орган администрации, осуществляющий 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предприятия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муниципального 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унитарного предприятия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ОКАТО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Вид экономической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(согласно ОКВЭД-2)</w:t>
            </w:r>
          </w:p>
        </w:tc>
        <w:tc>
          <w:tcPr>
            <w:tcW w:w="3351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389"/>
        </w:trPr>
        <w:tc>
          <w:tcPr>
            <w:tcW w:w="2948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ОКФС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2126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294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ИНН/КПП</w:t>
            </w:r>
          </w:p>
        </w:tc>
        <w:tc>
          <w:tcPr>
            <w:tcW w:w="335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77"/>
        <w:gridCol w:w="2835"/>
        <w:gridCol w:w="1701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активов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85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86 (86 = 1 балл, 87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110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рентабельности проданных товаров (продукции, работ, услуг)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85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86 (86 = 1 балл, 87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110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чистой прибыли, подлежащая перечислению в местный бюджет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25 (26 = 1 балл, 27 = 2 балла и т.д.)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50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показателей экономической эффективности деятельности предприятия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 или равно 75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более или равно 76 (76 = 1 балл, 77 = 2 балла и т.д.)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 до 25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доходов от передачи муниципального имущества в аренду в совокупном объеме доходов предприятия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баллы не присваиваются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 (за исключением земельных участков), переданного в аренду (рассчитывается по площади недвижимого имущества)</w:t>
            </w:r>
          </w:p>
        </w:tc>
        <w:tc>
          <w:tcPr>
            <w:tcW w:w="283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баллы не присваиваются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МУП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отраслевого</w:t>
      </w:r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 администрации </w:t>
      </w:r>
      <w:proofErr w:type="spell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активов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</w:rPr>
                <m:t>рентабельность активов предприятия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</w:rPr>
                <m:t>отраслевая рентабельность активов</m:t>
              </m:r>
            </m:den>
          </m:f>
          <m:r>
            <w:rPr>
              <w:rFonts w:ascii="Cambria Math" w:eastAsia="Times New Roman" w:hAnsi="Cambria Math" w:cs="Times New Roman"/>
              <w:color w:val="auto"/>
            </w:rPr>
            <m:t xml:space="preserve"> х 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рентабельность активов предприятия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прибыль (убыток)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стоимость активов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рентабельности проданных товаров (продукции, работ, услуг) рассчитывается по формуле: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</w:rPr>
            <m:t>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предприятия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</w:rPr>
            <m:t>х100%,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</w:rPr>
                <m:t>продукции, работ, услуг</m:t>
              </m:r>
            </m:e>
          </m:d>
          <m:r>
            <w:rPr>
              <w:rFonts w:ascii="Cambria Math" w:eastAsia="Times New Roman" w:hAnsi="Cambria Math" w:cs="Times New Roman"/>
              <w:color w:val="auto"/>
            </w:rPr>
            <m:t>предприятия=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убыток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от продаж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auto"/>
                    </w:rPr>
                    <m:t>с учетом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расходов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auto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auto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eastAsia="Times New Roman" w:hAnsi="Cambria Math" w:cs="Times New Roman"/>
              <w:color w:val="auto"/>
            </w:rPr>
            <m:t>х100%.</m:t>
          </m:r>
        </m:oMath>
      </m:oMathPara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ля унитарных предприятий, перечисляющих в местный бюджет менее 25 % чистой прибыли по решению органа местного самоуправления, оценка показателя принимается в размере 0 баллов.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4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 эффективности использования муниципального имущества,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закрепленного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учреждениями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410"/>
        <w:gridCol w:w="1701"/>
        <w:gridCol w:w="2126"/>
      </w:tblGrid>
      <w:tr w:rsidR="007045B1" w:rsidRPr="007045B1" w:rsidTr="007045B1">
        <w:tc>
          <w:tcPr>
            <w:tcW w:w="346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Отраслевой орган администрации, осуществляющий 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учреждения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46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464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46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46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1701"/>
        <w:gridCol w:w="2126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имущества, используемого учреждением для оказания государственных (муниципальных) услуг (выполнения работ), установленных муниципальным заданием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имущества, используемого учреждением для оказания государственных (муниципальных) услуг (выполнения работ) сверх установленного муниципального задания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в том числе: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передано в аренду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(муниципальным) учреждениям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обеспечения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(выполнения функций),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предусмотренной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уставом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передано в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безвозмездное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пользование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(муниципальным) учреждениям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используется учреждением, не передано в пользование – всего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имущество находится в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аварийном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состоянии (непригодном к 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использованию)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излишнее имущество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58BD" w:rsidRDefault="004D58BD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по следующей шкале: менее 80% – 0 баллов, 80% – 80 баллов, шаг 1% соответствует 1 баллу (81%  – 81 балл, 82% – 82 балла и т.д.).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по следующей шкале: 0% – 0 баллов, шаг 1% соответствует 1 баллу (1%  – 1 балл, 2% – 2 балла и т.д.).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5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 эффективности использования муниципального имущества,</w:t>
      </w:r>
    </w:p>
    <w:p w:rsidR="007045B1" w:rsidRPr="007045B1" w:rsidRDefault="007045B1" w:rsidP="004D58B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закрепленного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муниципальными учреждениями</w:t>
      </w:r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которым муниципальное задание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не установлено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Отраслевой (функциональный) орган администрации, осуществляющий 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1701"/>
        <w:gridCol w:w="2126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имущества, используемого учреждением для выполнения функций (осуществление деятельности, предусмотренной уставом)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в том числе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передано в аренду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(муниципальным) учреждениям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обеспечения деятельности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(выполнения функций),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предусмотренной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уставом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передано в безвозмездное пользование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(муниципальным) учреждениям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используется учреждением, не передано в пользование – всего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имущество находится в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аварийном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состоянии (непригодном к </w:t>
            </w:r>
            <w:proofErr w:type="gramEnd"/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использованию)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излишнее имущество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в баллах</w:t>
            </w:r>
          </w:p>
          <w:p w:rsidR="007045B1" w:rsidRPr="007045B1" w:rsidRDefault="007045B1" w:rsidP="007045B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осуществляется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Ленинградской области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по следующей шкале: менее 80% – 0 баллов, 80% – 80 баллов, шаг 1% соответствует 1 баллу (81%  – 81 балл, 82% – 82 балла и т.д.).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6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 использования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имущества, закрепленного за муниципальными учреждениями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Отраслевой (функциональный) орган администрации, осуществляющий 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811"/>
        <w:gridCol w:w="2127"/>
        <w:gridCol w:w="1275"/>
      </w:tblGrid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 показателя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показателя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муниципального задания в части показателей, характеризующих объем указанных услуг (выполненных работ)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а) показатели достигнуты в полном объеме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показатели достигнуты (с учетом допустимых возможных отклонений)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показатели не достигнуты (муниципальное задание не утверждено)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муниципального задания в части показателей, характеризующих качество оказанных услуг (выполненных работ)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показатели достигнуты в полном объеме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показатели достигнуты (с учетом допустимых возможных отклонений)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показатели не достигнуты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Доля доходов от передачи муниципального имущества в аренду в совокупном объеме доходов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приносящей доход деятельности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0-20</w:t>
            </w:r>
          </w:p>
        </w:tc>
      </w:tr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расходов на содержание имущества, возмещаемых лицами, которым имущество передано в пользование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4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- всего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в том числе: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по договорам аренды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возмещаемых налогов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по договорам безвозмездного пользования – всего,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из них возмещаемых налогов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0-15</w:t>
            </w:r>
          </w:p>
        </w:tc>
      </w:tr>
      <w:tr w:rsidR="007045B1" w:rsidRPr="007045B1" w:rsidTr="007045B1">
        <w:trPr>
          <w:trHeight w:val="14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зарегистрированных в установленном порядке прав на недвижимое имущество: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имущества, права на которое зарегистрированы, в общем объеме имущества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5B1" w:rsidRPr="007045B1" w:rsidRDefault="007045B1" w:rsidP="007045B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0-10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6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отраслевого</w:t>
      </w:r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органа администрации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района 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Значение показателя определяется на основании отчета о выполнении муниципального задания. Указывается в процентах от годового объема оказания государственной (муниципальной) услуги (выполнения работы).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Показатель формируется в случае, если муниципальным заданием установлены показатели качества. Указывается в процентах от установленных значений показателей качества.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по следующей шкале: если доля доходов от передачи имущества в аренду составляет 60 % и более, оценка составляет 0 баллов, шаг 2% соответствует 1 баллу. Для казенных учреждений, которым муниципальное задание не утверждается, показатель рассчитывается, а оценка в баллах не осуществляется.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4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на основании сравнения доли имущества, переданного в пользование (показатели 3.1 и 3.2 таблицы 2) и доли расходов на содержание имущества, возмещаемого пользователями имущества по следующей шкале: если доля возмещаемых расходов равна или больше доли имущества, переданного в пользование, оценка составляет 15 баллов, если 55 % и менее, оценка составляет 0 баллов, шаг 3% соответствует 1 баллу.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расчете показателя не учитывается недвижимое имущество, переданное по решению учредителя в пользование иным учреждениям, находящимся в его ведении.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5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по следующей шкале: 10% и более – 1 балл, 20% и более – 2 балла и т.д., 100% – 10 баллов.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6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ля казенных учреждений, которым муниципальное задание не утверждается, максимальное значение показателя составляет 25 баллов.</w:t>
      </w: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7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использования муниципального имущества, закрепленного за 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</w:t>
      </w:r>
      <w:proofErr w:type="gramEnd"/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учреждениями, в части реализации полномочий учредителя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Отраслевой орган администрации, осуществляющий 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оперативное руководство и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деятельностью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Наименование учреждения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ОКПО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015"/>
        <w:gridCol w:w="1701"/>
        <w:gridCol w:w="1417"/>
      </w:tblGrid>
      <w:tr w:rsidR="007045B1" w:rsidRPr="007045B1" w:rsidTr="007045B1">
        <w:tc>
          <w:tcPr>
            <w:tcW w:w="5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01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 показателя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показателей (рабочих дней)</w:t>
            </w:r>
          </w:p>
        </w:tc>
        <w:tc>
          <w:tcPr>
            <w:tcW w:w="141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5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1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Длительность процедур согласования решения о списании недвижимого имущества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0-34</w:t>
            </w:r>
          </w:p>
        </w:tc>
      </w:tr>
      <w:tr w:rsidR="007045B1" w:rsidRPr="007045B1" w:rsidTr="007045B1">
        <w:tc>
          <w:tcPr>
            <w:tcW w:w="5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1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Длительность процедур согласования решения о передаче недвижимого имущества в аренду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0-33</w:t>
            </w:r>
          </w:p>
        </w:tc>
      </w:tr>
      <w:tr w:rsidR="007045B1" w:rsidRPr="007045B1" w:rsidTr="007045B1">
        <w:tc>
          <w:tcPr>
            <w:tcW w:w="5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1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Длительность процедур согласования решения о передаче недвижимого имущества в безвозмездное пользование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0-33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34 балла, если длительность согласования составляет 64 рабочих дня и более, оценка составляет 0 баллов, шаг 1 день соответствует 1 баллу.</w:t>
      </w: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33 балла, если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длительность согласования составляет 63 рабочих дня и более, оценка составляет 0 баллов, шаг 1 день соответствует 1 баллу.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8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 эффективности передачи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на безвозмездной основе объектов недвижимого имущества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казны муниципального образования</w:t>
      </w:r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 в целях имущественной поддержки некоммерческим организациям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Показатель эффективности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проверки использования имущества в отчетном году: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план-график проведения проверок не исполнен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план-график проведения проверок исполнен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Ленинградской области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9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 управления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 распоряжения объектами недвижимого имущества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казны муниципального образования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области, которые включены в перечни имущества, предоставляемого субъектам малого и среднего предпринимательства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Показатель эффективности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проведенных в течение года торгов в отношении каждого объекта казны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поселения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включенного в перечень имущества, предоставляемого субъектам малого и среднего предпринимательства и </w:t>
            </w: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самозанятым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гражданам: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торги не проводились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подана ни одна заявка/ подана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одна заявка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58BD" w:rsidRDefault="004D58BD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 управления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и распоряжения земельными участками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Показатель эффективности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Вовлечены в гражданско-правовые отношения земельные участки, находящиеся в муниципальной собственности: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план по вовлечению в хозяйственный оборот земельных участков в отчетном году не исполнен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б) план по вовлечению в хозяйственный оборот земельных участков в отчетном году не исполнен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100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эффективности*: 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*Максимальное значение показателя эффективности – 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Ленинградской области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11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показателям, характеризующим эффективность приватизации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муниципального имущества казны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01.01.20__г.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701"/>
        <w:gridCol w:w="2126"/>
      </w:tblGrid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по БК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517"/>
        </w:trPr>
        <w:tc>
          <w:tcPr>
            <w:tcW w:w="3606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бюджета ППО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ОКТМО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годовая</w:t>
            </w:r>
          </w:p>
        </w:tc>
        <w:tc>
          <w:tcPr>
            <w:tcW w:w="1701" w:type="dxa"/>
            <w:vAlign w:val="center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360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Показатель эффективности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(баллы)</w:t>
            </w:r>
          </w:p>
        </w:tc>
      </w:tr>
      <w:tr w:rsidR="007045B1" w:rsidRPr="007045B1" w:rsidTr="007045B1"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Доля поступлений в бюджет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поселения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 от приватизации муниципального имущества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плановые показатели не достигнуты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плановые показатели достигнуты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Максимальное значение показателя эффективности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100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Значения плановых показателей устанавливаются Прогнозным планом (программой) приватизации муниципального имущества, утверждаемым нормативным актом представительным органом муниципального образования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4D58B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области.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045B1" w:rsidRPr="007045B1" w:rsidSect="007045B1">
          <w:pgSz w:w="11906" w:h="16838"/>
          <w:pgMar w:top="851" w:right="567" w:bottom="426" w:left="1701" w:header="720" w:footer="720" w:gutter="0"/>
          <w:cols w:space="720"/>
          <w:docGrid w:linePitch="272"/>
        </w:sectPr>
      </w:pPr>
    </w:p>
    <w:p w:rsidR="007045B1" w:rsidRPr="007045B1" w:rsidRDefault="007045B1" w:rsidP="007045B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12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ОТЧЕТНОСТИ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по предоставлению информации в отношении, объектов муниципального недвижимости имущества,</w:t>
      </w:r>
    </w:p>
    <w:p w:rsidR="007045B1" w:rsidRPr="007045B1" w:rsidRDefault="007045B1" w:rsidP="007045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закрепленного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предприятием (учреждением), но неиспользуемого данным предприятием (учреждением) в уставной деятельности</w:t>
      </w:r>
    </w:p>
    <w:tbl>
      <w:tblPr>
        <w:tblpPr w:leftFromText="180" w:rightFromText="180" w:vertAnchor="text" w:horzAnchor="margin" w:tblpXSpec="center" w:tblpY="183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701"/>
        <w:gridCol w:w="1134"/>
        <w:gridCol w:w="1701"/>
        <w:gridCol w:w="1984"/>
        <w:gridCol w:w="2126"/>
        <w:gridCol w:w="2268"/>
      </w:tblGrid>
      <w:tr w:rsidR="007045B1" w:rsidRPr="007045B1" w:rsidTr="007045B1">
        <w:trPr>
          <w:trHeight w:val="1379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Площадь, кв. 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местонахождения объекта недвижимости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Состояние объекта недвижимости*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Планируемые меры и сроки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Предпринятые меры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***</w:t>
            </w: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286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81"/>
      <w:bookmarkEnd w:id="2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Всего объектов муниципального недвижимого имущества, закрепленного за предприятием (учреждением): ____</w:t>
      </w:r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 площадью_____.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ФИО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предприятия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(учреждения)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отраслевого органа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Ленинградской области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удовлетворительное, неудовлетворительное, требуется проведение капитального ремонта/реконструкции,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руинированное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** аренда, продажа, передача в муниципальную собственность, списание, ремонт с целью использования в уставной деятельности.</w:t>
      </w:r>
    </w:p>
    <w:p w:rsidR="007045B1" w:rsidRPr="007045B1" w:rsidRDefault="007045B1" w:rsidP="007045B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*** проведение технической экспертизы объекта недвижимости с целью его списания, проведение рыночной оценки арендной платы для заключения договора аренды, проведение рыночной оценки объекта с целью его продажи.</w:t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13</w:t>
      </w:r>
    </w:p>
    <w:p w:rsidR="007045B1" w:rsidRPr="007045B1" w:rsidRDefault="007045B1" w:rsidP="007045B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701"/>
        <w:gridCol w:w="1134"/>
        <w:gridCol w:w="1701"/>
        <w:gridCol w:w="1984"/>
        <w:gridCol w:w="2126"/>
        <w:gridCol w:w="2268"/>
      </w:tblGrid>
      <w:tr w:rsidR="007045B1" w:rsidRPr="007045B1" w:rsidTr="007045B1">
        <w:trPr>
          <w:trHeight w:val="819"/>
        </w:trPr>
        <w:tc>
          <w:tcPr>
            <w:tcW w:w="15371" w:type="dxa"/>
            <w:gridSpan w:val="9"/>
          </w:tcPr>
          <w:p w:rsidR="007045B1" w:rsidRPr="007045B1" w:rsidRDefault="007045B1" w:rsidP="004D58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Перечень объектов недвижимости муниципальной собственности  муниципального образования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Лужское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городское поселение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45B1">
              <w:rPr>
                <w:lang w:val="ru"/>
              </w:rPr>
              <w:t xml:space="preserve">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области, неиспользуемых муниципальными учреждениями и предприятиями в уставной деятельности</w:t>
            </w:r>
          </w:p>
        </w:tc>
      </w:tr>
      <w:tr w:rsidR="007045B1" w:rsidRPr="007045B1" w:rsidTr="007045B1">
        <w:trPr>
          <w:trHeight w:val="1379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Площадь, кв. м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местонахождения объекта недвижимости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Состояние объекта недвижимости*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Планируемые меры и сроки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Предпринятые меры</w:t>
            </w:r>
          </w:p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***</w:t>
            </w: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273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rPr>
          <w:trHeight w:val="286"/>
        </w:trPr>
        <w:tc>
          <w:tcPr>
            <w:tcW w:w="48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ФИО исполнителя, ответственного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составление сводной информации         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–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КУМИ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удовлетворительное, неудовлетворительное, требуется проведение капитального ремонта/реконструкции, </w:t>
      </w:r>
      <w:proofErr w:type="spell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руинированное</w:t>
      </w:r>
      <w:proofErr w:type="spellEnd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** аренда, продажа, передача в муниципальную собственность, списание, ремонт с целью использования в уставной деятельности.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045B1" w:rsidRPr="007045B1" w:rsidSect="007045B1">
          <w:pgSz w:w="16838" w:h="11906" w:orient="landscape"/>
          <w:pgMar w:top="1701" w:right="851" w:bottom="567" w:left="425" w:header="720" w:footer="720" w:gutter="0"/>
          <w:cols w:space="720"/>
          <w:docGrid w:linePitch="272"/>
        </w:sect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*** проведение технической экспертизы объекта недвижимости с целью его списания, проведение рыночной оценки арендной платы для заключения договора аренды, проведение рыночной оценки объекта с целью его продажи.</w:t>
      </w:r>
    </w:p>
    <w:p w:rsidR="007045B1" w:rsidRPr="007045B1" w:rsidRDefault="007045B1" w:rsidP="007045B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14</w:t>
      </w: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126"/>
        <w:gridCol w:w="2268"/>
      </w:tblGrid>
      <w:tr w:rsidR="007045B1" w:rsidRPr="007045B1" w:rsidTr="007045B1">
        <w:tc>
          <w:tcPr>
            <w:tcW w:w="9639" w:type="dxa"/>
            <w:gridSpan w:val="5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3" w:name="P43"/>
            <w:bookmarkEnd w:id="3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об эффективности использования муниципального недвижимого имущества муниципального образования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Лужское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городское поселение </w:t>
            </w:r>
            <w:proofErr w:type="spellStart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Лужского</w:t>
            </w:r>
            <w:proofErr w:type="spellEnd"/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4D58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области, закрепленного за муниципальными учреждениями и предприятиями</w:t>
            </w:r>
          </w:p>
        </w:tc>
      </w:tr>
      <w:tr w:rsidR="007045B1" w:rsidRPr="007045B1" w:rsidTr="007045B1">
        <w:tc>
          <w:tcPr>
            <w:tcW w:w="567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6662" w:type="dxa"/>
            <w:gridSpan w:val="3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объектов недвижимости, закрепленных за учреждением (предприятием), в </w:t>
            </w:r>
            <w:proofErr w:type="spellStart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045B1" w:rsidRPr="007045B1" w:rsidTr="007045B1">
        <w:trPr>
          <w:trHeight w:val="959"/>
        </w:trPr>
        <w:tc>
          <w:tcPr>
            <w:tcW w:w="567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эффективно используемых объектов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не эффективно используемых объектов</w:t>
            </w:r>
          </w:p>
        </w:tc>
      </w:tr>
      <w:tr w:rsidR="007045B1" w:rsidRPr="007045B1" w:rsidTr="007045B1">
        <w:tc>
          <w:tcPr>
            <w:tcW w:w="56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4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7045B1" w:rsidRPr="007045B1" w:rsidTr="007045B1">
        <w:tc>
          <w:tcPr>
            <w:tcW w:w="56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56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45B1" w:rsidRPr="007045B1" w:rsidTr="007045B1">
        <w:tc>
          <w:tcPr>
            <w:tcW w:w="567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B1" w:rsidRPr="007045B1" w:rsidRDefault="007045B1" w:rsidP="007045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ФИО исполнителя, ответственного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составление сводной информации           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proofErr w:type="gramStart"/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proofErr w:type="gramEnd"/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– 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КУМИ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__________________/_____________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(подпись) </w:t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45B1">
        <w:rPr>
          <w:rFonts w:ascii="Times New Roman" w:eastAsia="Times New Roman" w:hAnsi="Times New Roman" w:cs="Times New Roman"/>
          <w:bCs/>
          <w:sz w:val="28"/>
          <w:szCs w:val="28"/>
        </w:rPr>
        <w:tab/>
        <w:t>(ФИО)</w:t>
      </w: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B1" w:rsidRPr="007045B1" w:rsidRDefault="007045B1" w:rsidP="007045B1">
      <w:pPr>
        <w:rPr>
          <w:rFonts w:ascii="Times New Roman" w:hAnsi="Times New Roman" w:cs="Times New Roman"/>
          <w:sz w:val="28"/>
          <w:szCs w:val="28"/>
        </w:rPr>
      </w:pPr>
    </w:p>
    <w:p w:rsidR="007045B1" w:rsidRPr="009F224E" w:rsidRDefault="007045B1" w:rsidP="007045B1">
      <w:pPr>
        <w:suppressAutoHyphens/>
        <w:autoSpaceDE w:val="0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052159" w:rsidRPr="009F224E" w:rsidRDefault="00052159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A15C36" w:rsidRPr="009F224E" w:rsidRDefault="00A15C36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p w:rsidR="009F224E" w:rsidRPr="009F224E" w:rsidRDefault="009F224E" w:rsidP="009F224E">
      <w:pPr>
        <w:suppressAutoHyphens/>
        <w:autoSpaceDE w:val="0"/>
        <w:jc w:val="right"/>
        <w:rPr>
          <w:rFonts w:ascii="Times New Roman" w:eastAsia="Arial" w:hAnsi="Times New Roman" w:cs="Times New Roman"/>
          <w:color w:val="auto"/>
          <w:lang w:eastAsia="ar-SA"/>
        </w:rPr>
      </w:pPr>
    </w:p>
    <w:sectPr w:rsidR="009F224E" w:rsidRPr="009F224E" w:rsidSect="00A15C3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FD" w:rsidRDefault="00D62FFD" w:rsidP="001849F8">
      <w:r>
        <w:separator/>
      </w:r>
    </w:p>
  </w:endnote>
  <w:endnote w:type="continuationSeparator" w:id="0">
    <w:p w:rsidR="00D62FFD" w:rsidRDefault="00D62FFD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FD" w:rsidRDefault="00D62FFD"/>
  </w:footnote>
  <w:footnote w:type="continuationSeparator" w:id="0">
    <w:p w:rsidR="00D62FFD" w:rsidRDefault="00D62F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31AE0A2E"/>
    <w:multiLevelType w:val="hybridMultilevel"/>
    <w:tmpl w:val="67E638FE"/>
    <w:lvl w:ilvl="0" w:tplc="2D707664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D7A2D8C"/>
    <w:multiLevelType w:val="hybridMultilevel"/>
    <w:tmpl w:val="4D2C2524"/>
    <w:lvl w:ilvl="0" w:tplc="3BA8EAB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C7F5E"/>
    <w:multiLevelType w:val="multilevel"/>
    <w:tmpl w:val="F984E8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E5A45"/>
    <w:multiLevelType w:val="hybridMultilevel"/>
    <w:tmpl w:val="0756C282"/>
    <w:lvl w:ilvl="0" w:tplc="C30C551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6D173C"/>
    <w:multiLevelType w:val="hybridMultilevel"/>
    <w:tmpl w:val="4336C2C8"/>
    <w:lvl w:ilvl="0" w:tplc="52CCE3F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C0A5629"/>
    <w:multiLevelType w:val="multilevel"/>
    <w:tmpl w:val="1228E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2159"/>
    <w:rsid w:val="0005334C"/>
    <w:rsid w:val="00054501"/>
    <w:rsid w:val="00056D5E"/>
    <w:rsid w:val="00060544"/>
    <w:rsid w:val="00060AA1"/>
    <w:rsid w:val="00064F66"/>
    <w:rsid w:val="00074FB8"/>
    <w:rsid w:val="00075A32"/>
    <w:rsid w:val="00080D3E"/>
    <w:rsid w:val="00095308"/>
    <w:rsid w:val="000B2538"/>
    <w:rsid w:val="000B29F1"/>
    <w:rsid w:val="000B528F"/>
    <w:rsid w:val="000D3624"/>
    <w:rsid w:val="000E24D0"/>
    <w:rsid w:val="000E7F35"/>
    <w:rsid w:val="001018A9"/>
    <w:rsid w:val="00103256"/>
    <w:rsid w:val="00115DE5"/>
    <w:rsid w:val="001168EF"/>
    <w:rsid w:val="00117705"/>
    <w:rsid w:val="001242AF"/>
    <w:rsid w:val="00154544"/>
    <w:rsid w:val="00154DC0"/>
    <w:rsid w:val="001610E8"/>
    <w:rsid w:val="001642E6"/>
    <w:rsid w:val="001747CA"/>
    <w:rsid w:val="001849F8"/>
    <w:rsid w:val="001872A8"/>
    <w:rsid w:val="001944D3"/>
    <w:rsid w:val="0019608F"/>
    <w:rsid w:val="001A51EF"/>
    <w:rsid w:val="001D06FA"/>
    <w:rsid w:val="001D2E24"/>
    <w:rsid w:val="001D4BA9"/>
    <w:rsid w:val="001E7C8F"/>
    <w:rsid w:val="001F168E"/>
    <w:rsid w:val="001F6383"/>
    <w:rsid w:val="002055DA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E1D0E"/>
    <w:rsid w:val="002F3248"/>
    <w:rsid w:val="00301218"/>
    <w:rsid w:val="00314FA2"/>
    <w:rsid w:val="00316AAE"/>
    <w:rsid w:val="00316E8A"/>
    <w:rsid w:val="003367D3"/>
    <w:rsid w:val="00337679"/>
    <w:rsid w:val="00342387"/>
    <w:rsid w:val="00345086"/>
    <w:rsid w:val="0035092F"/>
    <w:rsid w:val="00364689"/>
    <w:rsid w:val="00372012"/>
    <w:rsid w:val="00392EBB"/>
    <w:rsid w:val="003A6FF1"/>
    <w:rsid w:val="003B6C3F"/>
    <w:rsid w:val="003D05BE"/>
    <w:rsid w:val="003D512E"/>
    <w:rsid w:val="003F511B"/>
    <w:rsid w:val="00403E66"/>
    <w:rsid w:val="00414FF8"/>
    <w:rsid w:val="00415B54"/>
    <w:rsid w:val="0042681C"/>
    <w:rsid w:val="00467725"/>
    <w:rsid w:val="004762ED"/>
    <w:rsid w:val="0047730A"/>
    <w:rsid w:val="004A2CA6"/>
    <w:rsid w:val="004B466D"/>
    <w:rsid w:val="004C6D94"/>
    <w:rsid w:val="004D1323"/>
    <w:rsid w:val="004D58BD"/>
    <w:rsid w:val="004E7037"/>
    <w:rsid w:val="004F7E2F"/>
    <w:rsid w:val="00500BAD"/>
    <w:rsid w:val="00505A62"/>
    <w:rsid w:val="00520988"/>
    <w:rsid w:val="0053079A"/>
    <w:rsid w:val="005363A7"/>
    <w:rsid w:val="005405FA"/>
    <w:rsid w:val="00541674"/>
    <w:rsid w:val="0054300C"/>
    <w:rsid w:val="00543828"/>
    <w:rsid w:val="00550BA0"/>
    <w:rsid w:val="00555564"/>
    <w:rsid w:val="00563D72"/>
    <w:rsid w:val="00576355"/>
    <w:rsid w:val="00585F9F"/>
    <w:rsid w:val="005868E9"/>
    <w:rsid w:val="00586CB0"/>
    <w:rsid w:val="005A2766"/>
    <w:rsid w:val="005B1AE4"/>
    <w:rsid w:val="005B2A94"/>
    <w:rsid w:val="005B6287"/>
    <w:rsid w:val="005C2EA8"/>
    <w:rsid w:val="005D6094"/>
    <w:rsid w:val="005D6619"/>
    <w:rsid w:val="005E2C61"/>
    <w:rsid w:val="005E2CE1"/>
    <w:rsid w:val="005F12B1"/>
    <w:rsid w:val="00607369"/>
    <w:rsid w:val="00615BB8"/>
    <w:rsid w:val="0062548D"/>
    <w:rsid w:val="00642600"/>
    <w:rsid w:val="00645978"/>
    <w:rsid w:val="00646419"/>
    <w:rsid w:val="006611ED"/>
    <w:rsid w:val="00665E27"/>
    <w:rsid w:val="0067534F"/>
    <w:rsid w:val="00677565"/>
    <w:rsid w:val="006A28A7"/>
    <w:rsid w:val="006A38D7"/>
    <w:rsid w:val="006C23D2"/>
    <w:rsid w:val="006D3236"/>
    <w:rsid w:val="006D5298"/>
    <w:rsid w:val="006F43B9"/>
    <w:rsid w:val="006F753A"/>
    <w:rsid w:val="007045B1"/>
    <w:rsid w:val="00706A95"/>
    <w:rsid w:val="00755775"/>
    <w:rsid w:val="00765716"/>
    <w:rsid w:val="00770996"/>
    <w:rsid w:val="00772E5F"/>
    <w:rsid w:val="00776885"/>
    <w:rsid w:val="0077689B"/>
    <w:rsid w:val="0078283E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73021"/>
    <w:rsid w:val="008A4259"/>
    <w:rsid w:val="008A42E0"/>
    <w:rsid w:val="008A7829"/>
    <w:rsid w:val="008C52AA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728F0"/>
    <w:rsid w:val="00983C77"/>
    <w:rsid w:val="00985F3B"/>
    <w:rsid w:val="00990E22"/>
    <w:rsid w:val="009E62E8"/>
    <w:rsid w:val="009F02E6"/>
    <w:rsid w:val="009F224E"/>
    <w:rsid w:val="00A02073"/>
    <w:rsid w:val="00A04F3A"/>
    <w:rsid w:val="00A15C36"/>
    <w:rsid w:val="00A4440F"/>
    <w:rsid w:val="00A54642"/>
    <w:rsid w:val="00A57BB2"/>
    <w:rsid w:val="00A76583"/>
    <w:rsid w:val="00A85C94"/>
    <w:rsid w:val="00A90B66"/>
    <w:rsid w:val="00AA0660"/>
    <w:rsid w:val="00AA4597"/>
    <w:rsid w:val="00AB6DAC"/>
    <w:rsid w:val="00AC74FC"/>
    <w:rsid w:val="00AD36B1"/>
    <w:rsid w:val="00AE0A4D"/>
    <w:rsid w:val="00AE1CC8"/>
    <w:rsid w:val="00AF6218"/>
    <w:rsid w:val="00B03E1D"/>
    <w:rsid w:val="00B54B18"/>
    <w:rsid w:val="00B579CE"/>
    <w:rsid w:val="00B60997"/>
    <w:rsid w:val="00B86ABD"/>
    <w:rsid w:val="00B9469E"/>
    <w:rsid w:val="00B96C15"/>
    <w:rsid w:val="00BA6C12"/>
    <w:rsid w:val="00BC3F42"/>
    <w:rsid w:val="00BC6354"/>
    <w:rsid w:val="00BE0ACC"/>
    <w:rsid w:val="00BF6E32"/>
    <w:rsid w:val="00C01C3B"/>
    <w:rsid w:val="00C149A0"/>
    <w:rsid w:val="00C20BF5"/>
    <w:rsid w:val="00C24D56"/>
    <w:rsid w:val="00C262CE"/>
    <w:rsid w:val="00C324D2"/>
    <w:rsid w:val="00C33F8C"/>
    <w:rsid w:val="00C34637"/>
    <w:rsid w:val="00C36BC8"/>
    <w:rsid w:val="00C46255"/>
    <w:rsid w:val="00C5606F"/>
    <w:rsid w:val="00C70D87"/>
    <w:rsid w:val="00C70F53"/>
    <w:rsid w:val="00C82FFC"/>
    <w:rsid w:val="00C870BF"/>
    <w:rsid w:val="00C904EA"/>
    <w:rsid w:val="00C93E4E"/>
    <w:rsid w:val="00CA5F4D"/>
    <w:rsid w:val="00CE4718"/>
    <w:rsid w:val="00D029DB"/>
    <w:rsid w:val="00D0544D"/>
    <w:rsid w:val="00D14C3C"/>
    <w:rsid w:val="00D14D02"/>
    <w:rsid w:val="00D42199"/>
    <w:rsid w:val="00D467C1"/>
    <w:rsid w:val="00D53E66"/>
    <w:rsid w:val="00D6061A"/>
    <w:rsid w:val="00D62FFD"/>
    <w:rsid w:val="00D63E2E"/>
    <w:rsid w:val="00D73A68"/>
    <w:rsid w:val="00D93FC3"/>
    <w:rsid w:val="00D95B49"/>
    <w:rsid w:val="00DB3159"/>
    <w:rsid w:val="00DE49A9"/>
    <w:rsid w:val="00DE6118"/>
    <w:rsid w:val="00DF45E5"/>
    <w:rsid w:val="00E01262"/>
    <w:rsid w:val="00E10408"/>
    <w:rsid w:val="00E149FF"/>
    <w:rsid w:val="00E24C63"/>
    <w:rsid w:val="00E252A3"/>
    <w:rsid w:val="00E40087"/>
    <w:rsid w:val="00E46AAF"/>
    <w:rsid w:val="00E60BAC"/>
    <w:rsid w:val="00E654D4"/>
    <w:rsid w:val="00E756EA"/>
    <w:rsid w:val="00E84F43"/>
    <w:rsid w:val="00E85119"/>
    <w:rsid w:val="00EA7F9C"/>
    <w:rsid w:val="00EC0942"/>
    <w:rsid w:val="00EE5F32"/>
    <w:rsid w:val="00EF4AAA"/>
    <w:rsid w:val="00F00BFB"/>
    <w:rsid w:val="00F14386"/>
    <w:rsid w:val="00F24A74"/>
    <w:rsid w:val="00F303BE"/>
    <w:rsid w:val="00F45900"/>
    <w:rsid w:val="00F54B59"/>
    <w:rsid w:val="00F62C43"/>
    <w:rsid w:val="00F65FC5"/>
    <w:rsid w:val="00F673E1"/>
    <w:rsid w:val="00F73458"/>
    <w:rsid w:val="00F95B97"/>
    <w:rsid w:val="00FA46C5"/>
    <w:rsid w:val="00FA7B39"/>
    <w:rsid w:val="00FD32E5"/>
    <w:rsid w:val="00FF0EA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045B1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7045B1"/>
    <w:pPr>
      <w:keepNext/>
      <w:jc w:val="right"/>
      <w:outlineLvl w:val="4"/>
    </w:pPr>
    <w:rPr>
      <w:rFonts w:ascii="Times New Roman" w:eastAsia="Times New Roman" w:hAnsi="Times New Roman" w:cs="Times New Roman"/>
      <w:b/>
      <w:color w:val="auto"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9F224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5B1"/>
    <w:rPr>
      <w:rFonts w:ascii="Times New Roman" w:eastAsia="Times New Roman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7045B1"/>
    <w:rPr>
      <w:rFonts w:ascii="Times New Roman" w:eastAsia="Times New Roman" w:hAnsi="Times New Roman" w:cs="Times New Roman"/>
      <w:b/>
      <w:spacing w:val="20"/>
      <w:sz w:val="32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7045B1"/>
  </w:style>
  <w:style w:type="character" w:customStyle="1" w:styleId="FontStyle13">
    <w:name w:val="Font Style13"/>
    <w:uiPriority w:val="99"/>
    <w:rsid w:val="007045B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7045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45B1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3">
    <w:name w:val="Основной текст + Полужирный"/>
    <w:aliases w:val="Курсив"/>
    <w:rsid w:val="007045B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7045B1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4">
    <w:name w:val="No Spacing"/>
    <w:uiPriority w:val="1"/>
    <w:qFormat/>
    <w:rsid w:val="007045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locked/>
    <w:rsid w:val="00704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045B1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2">
    <w:name w:val="Основной текст (2)"/>
    <w:rsid w:val="007045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23">
    <w:name w:val="Сетка таблицы2"/>
    <w:basedOn w:val="a1"/>
    <w:next w:val="af2"/>
    <w:uiPriority w:val="59"/>
    <w:rsid w:val="0070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45B1"/>
  </w:style>
  <w:style w:type="paragraph" w:customStyle="1" w:styleId="Default">
    <w:name w:val="Default"/>
    <w:basedOn w:val="a"/>
    <w:rsid w:val="007045B1"/>
    <w:pPr>
      <w:autoSpaceDE w:val="0"/>
      <w:autoSpaceDN w:val="0"/>
    </w:pPr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7045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7045B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f5">
    <w:name w:val="Placeholder Text"/>
    <w:uiPriority w:val="99"/>
    <w:semiHidden/>
    <w:rsid w:val="00704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045B1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7045B1"/>
    <w:pPr>
      <w:keepNext/>
      <w:jc w:val="right"/>
      <w:outlineLvl w:val="4"/>
    </w:pPr>
    <w:rPr>
      <w:rFonts w:ascii="Times New Roman" w:eastAsia="Times New Roman" w:hAnsi="Times New Roman" w:cs="Times New Roman"/>
      <w:b/>
      <w:color w:val="auto"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9F224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5B1"/>
    <w:rPr>
      <w:rFonts w:ascii="Times New Roman" w:eastAsia="Times New Roman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7045B1"/>
    <w:rPr>
      <w:rFonts w:ascii="Times New Roman" w:eastAsia="Times New Roman" w:hAnsi="Times New Roman" w:cs="Times New Roman"/>
      <w:b/>
      <w:spacing w:val="20"/>
      <w:sz w:val="32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7045B1"/>
  </w:style>
  <w:style w:type="character" w:customStyle="1" w:styleId="FontStyle13">
    <w:name w:val="Font Style13"/>
    <w:uiPriority w:val="99"/>
    <w:rsid w:val="007045B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7045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45B1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3">
    <w:name w:val="Основной текст + Полужирный"/>
    <w:aliases w:val="Курсив"/>
    <w:rsid w:val="007045B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7045B1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4">
    <w:name w:val="No Spacing"/>
    <w:uiPriority w:val="1"/>
    <w:qFormat/>
    <w:rsid w:val="007045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locked/>
    <w:rsid w:val="00704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045B1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2">
    <w:name w:val="Основной текст (2)"/>
    <w:rsid w:val="007045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23">
    <w:name w:val="Сетка таблицы2"/>
    <w:basedOn w:val="a1"/>
    <w:next w:val="af2"/>
    <w:uiPriority w:val="59"/>
    <w:rsid w:val="0070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45B1"/>
  </w:style>
  <w:style w:type="paragraph" w:customStyle="1" w:styleId="Default">
    <w:name w:val="Default"/>
    <w:basedOn w:val="a"/>
    <w:rsid w:val="007045B1"/>
    <w:pPr>
      <w:autoSpaceDE w:val="0"/>
      <w:autoSpaceDN w:val="0"/>
    </w:pPr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7045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7045B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f5">
    <w:name w:val="Placeholder Text"/>
    <w:uiPriority w:val="99"/>
    <w:semiHidden/>
    <w:rsid w:val="00704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C3E-F142-47B7-9520-69D667F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Петрова</cp:lastModifiedBy>
  <cp:revision>2</cp:revision>
  <cp:lastPrinted>2024-01-25T11:57:00Z</cp:lastPrinted>
  <dcterms:created xsi:type="dcterms:W3CDTF">2024-02-08T11:57:00Z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