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FA" w:rsidRDefault="003B01FA" w:rsidP="003B01FA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1FA" w:rsidRDefault="003B01FA" w:rsidP="003B01FA">
      <w:pPr>
        <w:jc w:val="center"/>
      </w:pPr>
    </w:p>
    <w:p w:rsidR="003B01FA" w:rsidRPr="00824D26" w:rsidRDefault="003B01FA" w:rsidP="003B01FA">
      <w:pPr>
        <w:pStyle w:val="1"/>
        <w:spacing w:line="240" w:lineRule="auto"/>
        <w:ind w:right="-108"/>
        <w:rPr>
          <w:sz w:val="24"/>
        </w:rPr>
      </w:pPr>
      <w:r w:rsidRPr="00824D26">
        <w:rPr>
          <w:sz w:val="24"/>
        </w:rPr>
        <w:t>Ленинградская область</w:t>
      </w:r>
    </w:p>
    <w:p w:rsidR="003B01FA" w:rsidRPr="00824D26" w:rsidRDefault="003B01FA" w:rsidP="003B01FA">
      <w:pPr>
        <w:rPr>
          <w:b/>
        </w:rPr>
      </w:pPr>
    </w:p>
    <w:p w:rsidR="003B01FA" w:rsidRPr="00824D26" w:rsidRDefault="003B01FA" w:rsidP="003B01FA">
      <w:pPr>
        <w:pStyle w:val="1"/>
        <w:spacing w:line="240" w:lineRule="auto"/>
        <w:ind w:right="-108"/>
        <w:rPr>
          <w:sz w:val="26"/>
          <w:szCs w:val="26"/>
        </w:rPr>
      </w:pPr>
      <w:r w:rsidRPr="00824D26">
        <w:rPr>
          <w:sz w:val="26"/>
          <w:szCs w:val="26"/>
        </w:rPr>
        <w:t>Лужский муниципальный район</w:t>
      </w:r>
    </w:p>
    <w:p w:rsidR="003B01FA" w:rsidRPr="00824D26" w:rsidRDefault="003B01FA" w:rsidP="003B01FA">
      <w:pPr>
        <w:rPr>
          <w:b/>
        </w:rPr>
      </w:pPr>
    </w:p>
    <w:p w:rsidR="003B01FA" w:rsidRPr="00824D26" w:rsidRDefault="003B01FA" w:rsidP="003B01FA">
      <w:pPr>
        <w:pStyle w:val="1"/>
        <w:spacing w:line="240" w:lineRule="auto"/>
        <w:ind w:right="-108"/>
        <w:rPr>
          <w:sz w:val="28"/>
          <w:szCs w:val="28"/>
        </w:rPr>
      </w:pPr>
      <w:r w:rsidRPr="00824D26">
        <w:rPr>
          <w:sz w:val="28"/>
          <w:szCs w:val="28"/>
        </w:rPr>
        <w:t xml:space="preserve">Совет депутатов Лужского городского поселения </w:t>
      </w:r>
    </w:p>
    <w:p w:rsidR="003B01FA" w:rsidRDefault="003B01FA" w:rsidP="003B01FA">
      <w:pPr>
        <w:pStyle w:val="1"/>
        <w:spacing w:line="240" w:lineRule="auto"/>
        <w:ind w:right="-108"/>
        <w:rPr>
          <w:b w:val="0"/>
          <w:sz w:val="26"/>
          <w:szCs w:val="26"/>
        </w:rPr>
      </w:pPr>
    </w:p>
    <w:p w:rsidR="003B01FA" w:rsidRDefault="003B01FA" w:rsidP="003B01FA">
      <w:pPr>
        <w:pStyle w:val="1"/>
        <w:spacing w:line="240" w:lineRule="auto"/>
        <w:ind w:right="-1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3B01FA" w:rsidRPr="00824D26" w:rsidRDefault="003B01FA" w:rsidP="003B01FA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3B01FA" w:rsidRDefault="003B01FA" w:rsidP="003B01FA">
      <w:pPr>
        <w:spacing w:before="40"/>
        <w:rPr>
          <w:sz w:val="28"/>
          <w:szCs w:val="28"/>
        </w:rPr>
      </w:pPr>
      <w:r w:rsidRPr="004606B4">
        <w:rPr>
          <w:sz w:val="28"/>
          <w:szCs w:val="28"/>
        </w:rPr>
        <w:t xml:space="preserve">       </w:t>
      </w:r>
      <w:r w:rsidRPr="004606B4">
        <w:rPr>
          <w:sz w:val="28"/>
          <w:szCs w:val="28"/>
        </w:rPr>
        <w:tab/>
        <w:t xml:space="preserve"> </w:t>
      </w:r>
    </w:p>
    <w:p w:rsidR="003B01FA" w:rsidRPr="004606B4" w:rsidRDefault="003B01FA" w:rsidP="003B01FA">
      <w:pPr>
        <w:spacing w:before="40"/>
        <w:rPr>
          <w:sz w:val="28"/>
          <w:szCs w:val="28"/>
        </w:rPr>
      </w:pPr>
    </w:p>
    <w:p w:rsidR="003B01FA" w:rsidRPr="004606B4" w:rsidRDefault="003B01FA" w:rsidP="003B01FA">
      <w:pPr>
        <w:rPr>
          <w:sz w:val="28"/>
          <w:szCs w:val="28"/>
        </w:rPr>
      </w:pPr>
      <w:r>
        <w:rPr>
          <w:sz w:val="28"/>
          <w:szCs w:val="28"/>
        </w:rPr>
        <w:t>от  14 декабря 2011 г.   №   215</w:t>
      </w:r>
    </w:p>
    <w:p w:rsidR="003B01FA" w:rsidRPr="004606B4" w:rsidRDefault="003B01FA" w:rsidP="003B01FA">
      <w:pPr>
        <w:rPr>
          <w:sz w:val="28"/>
          <w:szCs w:val="28"/>
        </w:rPr>
      </w:pPr>
    </w:p>
    <w:p w:rsidR="003B01FA" w:rsidRDefault="00CC1CE9" w:rsidP="003B01F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54pt;margin-top:8.3pt;width:81pt;height:54pt;z-index:251658240"/>
        </w:pict>
      </w:r>
      <w:r w:rsidR="003B01FA" w:rsidRPr="004606B4">
        <w:rPr>
          <w:sz w:val="28"/>
          <w:szCs w:val="28"/>
        </w:rPr>
        <w:tab/>
        <w:t xml:space="preserve">     </w:t>
      </w:r>
      <w:r w:rsidR="003B01FA">
        <w:rPr>
          <w:sz w:val="28"/>
          <w:szCs w:val="28"/>
        </w:rPr>
        <w:t xml:space="preserve"> Об утверждении стоимости услуг, </w:t>
      </w:r>
    </w:p>
    <w:p w:rsidR="003B01FA" w:rsidRDefault="003B01FA" w:rsidP="003B01FA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оказываемых МУП «Лилия»,  </w:t>
      </w:r>
    </w:p>
    <w:p w:rsidR="003B01FA" w:rsidRDefault="003B01FA" w:rsidP="003B01FA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2012 год </w:t>
      </w:r>
    </w:p>
    <w:p w:rsidR="003B01FA" w:rsidRDefault="003B01FA" w:rsidP="003B01FA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B01FA" w:rsidRPr="003B01FA" w:rsidRDefault="003B01FA" w:rsidP="003B01FA">
      <w:pPr>
        <w:ind w:firstLine="708"/>
        <w:jc w:val="both"/>
        <w:rPr>
          <w:sz w:val="28"/>
          <w:szCs w:val="28"/>
        </w:rPr>
      </w:pPr>
      <w:r w:rsidRPr="003B01FA">
        <w:rPr>
          <w:sz w:val="28"/>
          <w:szCs w:val="28"/>
        </w:rPr>
        <w:t xml:space="preserve">Заслушав директора МУП «Лилия» Савину Е.В. по вопросу «Утверждения прейскуранта стоимости аренды летних домиков и проката предметов бытового назначения МУП «Лилия» на 2012 год», Совет депутатов </w:t>
      </w:r>
      <w:proofErr w:type="spellStart"/>
      <w:r w:rsidRPr="003B01FA">
        <w:rPr>
          <w:sz w:val="28"/>
          <w:szCs w:val="28"/>
        </w:rPr>
        <w:t>Лужского</w:t>
      </w:r>
      <w:proofErr w:type="spellEnd"/>
      <w:r w:rsidRPr="003B01FA">
        <w:rPr>
          <w:sz w:val="28"/>
          <w:szCs w:val="28"/>
        </w:rPr>
        <w:t xml:space="preserve"> городского поселения, </w:t>
      </w:r>
      <w:proofErr w:type="gramStart"/>
      <w:r w:rsidRPr="003B01FA">
        <w:rPr>
          <w:sz w:val="28"/>
          <w:szCs w:val="28"/>
        </w:rPr>
        <w:t>р</w:t>
      </w:r>
      <w:proofErr w:type="gramEnd"/>
      <w:r w:rsidRPr="003B01FA">
        <w:rPr>
          <w:sz w:val="28"/>
          <w:szCs w:val="28"/>
        </w:rPr>
        <w:t xml:space="preserve"> е ш и л:</w:t>
      </w:r>
    </w:p>
    <w:p w:rsidR="003B01FA" w:rsidRDefault="003B01FA" w:rsidP="003B01FA">
      <w:pPr>
        <w:jc w:val="both"/>
      </w:pPr>
    </w:p>
    <w:p w:rsidR="003B01FA" w:rsidRDefault="003B01FA" w:rsidP="003B01FA">
      <w:pPr>
        <w:pStyle w:val="a8"/>
        <w:numPr>
          <w:ilvl w:val="0"/>
          <w:numId w:val="2"/>
        </w:numPr>
        <w:jc w:val="both"/>
      </w:pPr>
      <w:r>
        <w:t>Утвердить МУП «Лилия» прейскуранты стоимости аренды летних домиков (приложение 1) и проката предметов бытового назначения (приложение 2) на 2012 год.</w:t>
      </w:r>
    </w:p>
    <w:p w:rsidR="003B01FA" w:rsidRDefault="003B01FA" w:rsidP="003B01FA">
      <w:pPr>
        <w:pStyle w:val="a8"/>
        <w:numPr>
          <w:ilvl w:val="0"/>
          <w:numId w:val="2"/>
        </w:numPr>
        <w:jc w:val="both"/>
      </w:pPr>
      <w:r>
        <w:t>Решение вступает в силу с 01.01.2012 года и подлежит  опубликованию в газете «Лужская правда».</w:t>
      </w:r>
    </w:p>
    <w:p w:rsidR="003B01FA" w:rsidRDefault="003B01FA" w:rsidP="003B01FA">
      <w:pPr>
        <w:pStyle w:val="a8"/>
        <w:ind w:left="705"/>
        <w:jc w:val="both"/>
      </w:pPr>
    </w:p>
    <w:p w:rsidR="003B01FA" w:rsidRDefault="003B01FA" w:rsidP="003B01FA">
      <w:pPr>
        <w:pStyle w:val="a8"/>
        <w:ind w:left="0"/>
        <w:jc w:val="both"/>
      </w:pPr>
      <w:r>
        <w:t xml:space="preserve">Глава </w:t>
      </w:r>
      <w:proofErr w:type="gramStart"/>
      <w:r>
        <w:t>Лужского</w:t>
      </w:r>
      <w:proofErr w:type="gramEnd"/>
      <w:r>
        <w:t xml:space="preserve"> городского </w:t>
      </w:r>
    </w:p>
    <w:p w:rsidR="003B01FA" w:rsidRDefault="003B01FA" w:rsidP="003B01FA">
      <w:pPr>
        <w:pStyle w:val="a8"/>
        <w:ind w:left="0"/>
        <w:jc w:val="both"/>
      </w:pPr>
      <w:r>
        <w:t xml:space="preserve">поселения,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3B01FA" w:rsidRDefault="003B01FA" w:rsidP="003B01FA">
      <w:pPr>
        <w:pStyle w:val="a8"/>
        <w:ind w:left="0"/>
        <w:jc w:val="both"/>
      </w:pPr>
      <w:r>
        <w:t>председателя Совета депутатов</w:t>
      </w:r>
      <w:r>
        <w:tab/>
      </w:r>
      <w:r>
        <w:tab/>
      </w:r>
      <w:r>
        <w:tab/>
      </w:r>
      <w:r>
        <w:tab/>
      </w:r>
      <w:r>
        <w:tab/>
        <w:t xml:space="preserve">   С. Э. </w:t>
      </w:r>
      <w:proofErr w:type="spellStart"/>
      <w:r>
        <w:t>Самородов</w:t>
      </w:r>
      <w:proofErr w:type="spellEnd"/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A63398" w:rsidRDefault="00A63398" w:rsidP="003B01FA">
      <w:pPr>
        <w:pStyle w:val="a8"/>
        <w:ind w:left="4956" w:firstLine="708"/>
      </w:pPr>
    </w:p>
    <w:p w:rsidR="00A63398" w:rsidRDefault="00A63398" w:rsidP="003B01FA">
      <w:pPr>
        <w:pStyle w:val="a8"/>
        <w:ind w:left="4956" w:firstLine="708"/>
      </w:pPr>
    </w:p>
    <w:p w:rsidR="00A63398" w:rsidRDefault="00A63398" w:rsidP="003B01FA">
      <w:pPr>
        <w:pStyle w:val="a8"/>
        <w:ind w:left="4956" w:firstLine="708"/>
      </w:pPr>
    </w:p>
    <w:p w:rsidR="00A63398" w:rsidRDefault="00A63398" w:rsidP="003B01FA">
      <w:pPr>
        <w:pStyle w:val="a8"/>
        <w:ind w:left="4956" w:firstLine="708"/>
      </w:pPr>
    </w:p>
    <w:p w:rsidR="003B01FA" w:rsidRDefault="003B01FA" w:rsidP="003B01FA">
      <w:pPr>
        <w:pStyle w:val="a8"/>
        <w:ind w:left="4956" w:firstLine="708"/>
      </w:pPr>
      <w:bookmarkStart w:id="0" w:name="_GoBack"/>
      <w:bookmarkEnd w:id="0"/>
      <w:r>
        <w:t>Приложение 1</w:t>
      </w:r>
    </w:p>
    <w:p w:rsidR="003B01FA" w:rsidRDefault="003B01FA" w:rsidP="003B01FA">
      <w:pPr>
        <w:pStyle w:val="a8"/>
        <w:ind w:left="3540" w:firstLine="708"/>
        <w:jc w:val="center"/>
      </w:pPr>
      <w:r>
        <w:t xml:space="preserve">            к решению Совета депутатов </w:t>
      </w:r>
    </w:p>
    <w:p w:rsidR="003B01FA" w:rsidRDefault="003B01FA" w:rsidP="003B01FA">
      <w:pPr>
        <w:pStyle w:val="a8"/>
        <w:ind w:left="0"/>
        <w:jc w:val="right"/>
      </w:pPr>
      <w:r>
        <w:t xml:space="preserve">Лужского городского поселения </w:t>
      </w:r>
    </w:p>
    <w:p w:rsidR="003B01FA" w:rsidRDefault="003B01FA" w:rsidP="003B01FA">
      <w:pPr>
        <w:pStyle w:val="a8"/>
        <w:ind w:left="4248" w:firstLine="708"/>
        <w:jc w:val="center"/>
      </w:pPr>
      <w:r>
        <w:t>от 14.12.2011 г. № 215</w:t>
      </w:r>
    </w:p>
    <w:p w:rsidR="003B01FA" w:rsidRDefault="003B01FA" w:rsidP="003B01FA">
      <w:pPr>
        <w:pStyle w:val="a8"/>
        <w:ind w:left="4248" w:firstLine="708"/>
        <w:jc w:val="center"/>
      </w:pPr>
    </w:p>
    <w:p w:rsidR="003B01FA" w:rsidRDefault="003B01FA" w:rsidP="003B01FA">
      <w:pPr>
        <w:pStyle w:val="a8"/>
        <w:ind w:left="4248" w:firstLine="708"/>
        <w:jc w:val="center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center"/>
      </w:pPr>
      <w:r>
        <w:t>Прейскурант</w:t>
      </w:r>
    </w:p>
    <w:p w:rsidR="003B01FA" w:rsidRDefault="003B01FA" w:rsidP="003B01FA">
      <w:pPr>
        <w:pStyle w:val="a8"/>
        <w:ind w:left="0"/>
        <w:jc w:val="center"/>
      </w:pPr>
      <w:r>
        <w:t>стоимости аренды домиков  на базе «Лилия» на 2012 год</w:t>
      </w:r>
    </w:p>
    <w:p w:rsidR="003B01FA" w:rsidRDefault="003B01FA" w:rsidP="003B01FA">
      <w:pPr>
        <w:pStyle w:val="a8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1508"/>
        <w:gridCol w:w="1260"/>
        <w:gridCol w:w="1261"/>
        <w:gridCol w:w="1261"/>
        <w:gridCol w:w="1233"/>
      </w:tblGrid>
      <w:tr w:rsidR="003B01FA" w:rsidTr="00FB0FF5">
        <w:tc>
          <w:tcPr>
            <w:tcW w:w="3085" w:type="dxa"/>
          </w:tcPr>
          <w:p w:rsidR="003B01FA" w:rsidRDefault="003B01FA" w:rsidP="00FB0FF5">
            <w:pPr>
              <w:pStyle w:val="a8"/>
              <w:ind w:left="0"/>
              <w:jc w:val="center"/>
            </w:pPr>
          </w:p>
        </w:tc>
        <w:tc>
          <w:tcPr>
            <w:tcW w:w="1418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Стоимость в день</w:t>
            </w:r>
          </w:p>
        </w:tc>
        <w:tc>
          <w:tcPr>
            <w:tcW w:w="127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Май</w:t>
            </w:r>
          </w:p>
          <w:p w:rsidR="003B01FA" w:rsidRPr="003D4377" w:rsidRDefault="003B01FA" w:rsidP="00FB0FF5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3D4377">
              <w:rPr>
                <w:sz w:val="24"/>
                <w:szCs w:val="24"/>
              </w:rPr>
              <w:t>(31 день)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Июнь</w:t>
            </w:r>
          </w:p>
          <w:p w:rsidR="003B01FA" w:rsidRDefault="003B01FA" w:rsidP="00FB0FF5">
            <w:pPr>
              <w:pStyle w:val="a8"/>
              <w:ind w:left="0"/>
              <w:jc w:val="center"/>
            </w:pPr>
            <w:r w:rsidRPr="003D4377">
              <w:rPr>
                <w:sz w:val="24"/>
                <w:szCs w:val="24"/>
              </w:rPr>
              <w:t>(30 день)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Июль</w:t>
            </w:r>
          </w:p>
          <w:p w:rsidR="003B01FA" w:rsidRDefault="003B01FA" w:rsidP="00FB0FF5">
            <w:pPr>
              <w:pStyle w:val="a8"/>
              <w:ind w:left="0"/>
              <w:jc w:val="center"/>
            </w:pPr>
            <w:r w:rsidRPr="003D4377">
              <w:rPr>
                <w:sz w:val="24"/>
                <w:szCs w:val="24"/>
              </w:rPr>
              <w:t>(31 день)</w:t>
            </w:r>
          </w:p>
        </w:tc>
        <w:tc>
          <w:tcPr>
            <w:tcW w:w="1241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Август</w:t>
            </w:r>
          </w:p>
          <w:p w:rsidR="003B01FA" w:rsidRDefault="003B01FA" w:rsidP="00FB0FF5">
            <w:pPr>
              <w:pStyle w:val="a8"/>
              <w:ind w:left="0"/>
              <w:jc w:val="center"/>
            </w:pPr>
            <w:r w:rsidRPr="003D4377">
              <w:rPr>
                <w:sz w:val="24"/>
                <w:szCs w:val="24"/>
              </w:rPr>
              <w:t>(31 день)</w:t>
            </w:r>
          </w:p>
        </w:tc>
      </w:tr>
      <w:tr w:rsidR="003B01FA" w:rsidTr="00FB0FF5">
        <w:tc>
          <w:tcPr>
            <w:tcW w:w="3085" w:type="dxa"/>
          </w:tcPr>
          <w:p w:rsidR="003B01FA" w:rsidRDefault="003B01FA" w:rsidP="003B01FA">
            <w:pPr>
              <w:pStyle w:val="a8"/>
              <w:ind w:left="0"/>
              <w:jc w:val="center"/>
            </w:pPr>
            <w:r>
              <w:t>Домики 2-х местные без электричества</w:t>
            </w:r>
          </w:p>
        </w:tc>
        <w:tc>
          <w:tcPr>
            <w:tcW w:w="1418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200</w:t>
            </w:r>
          </w:p>
        </w:tc>
        <w:tc>
          <w:tcPr>
            <w:tcW w:w="127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6200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6000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6200</w:t>
            </w:r>
          </w:p>
        </w:tc>
        <w:tc>
          <w:tcPr>
            <w:tcW w:w="1241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6200</w:t>
            </w:r>
          </w:p>
        </w:tc>
      </w:tr>
      <w:tr w:rsidR="003B01FA" w:rsidTr="00FB0FF5">
        <w:tc>
          <w:tcPr>
            <w:tcW w:w="308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Домики 2-х местные с электричеством</w:t>
            </w:r>
          </w:p>
        </w:tc>
        <w:tc>
          <w:tcPr>
            <w:tcW w:w="1418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275</w:t>
            </w:r>
          </w:p>
        </w:tc>
        <w:tc>
          <w:tcPr>
            <w:tcW w:w="127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8525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8250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8525</w:t>
            </w:r>
          </w:p>
        </w:tc>
        <w:tc>
          <w:tcPr>
            <w:tcW w:w="1241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8525</w:t>
            </w:r>
          </w:p>
        </w:tc>
      </w:tr>
      <w:tr w:rsidR="003B01FA" w:rsidTr="00FB0FF5">
        <w:tc>
          <w:tcPr>
            <w:tcW w:w="308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Домики 2-х местные с электричеством, повышенной комфортности</w:t>
            </w:r>
          </w:p>
        </w:tc>
        <w:tc>
          <w:tcPr>
            <w:tcW w:w="1418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340</w:t>
            </w:r>
          </w:p>
        </w:tc>
        <w:tc>
          <w:tcPr>
            <w:tcW w:w="127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10540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10200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10540</w:t>
            </w:r>
          </w:p>
        </w:tc>
        <w:tc>
          <w:tcPr>
            <w:tcW w:w="1241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10540</w:t>
            </w:r>
          </w:p>
        </w:tc>
      </w:tr>
      <w:tr w:rsidR="003B01FA" w:rsidTr="00FB0FF5">
        <w:tc>
          <w:tcPr>
            <w:tcW w:w="308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Домики 3-х местные без электричества</w:t>
            </w:r>
          </w:p>
        </w:tc>
        <w:tc>
          <w:tcPr>
            <w:tcW w:w="1418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270</w:t>
            </w:r>
          </w:p>
        </w:tc>
        <w:tc>
          <w:tcPr>
            <w:tcW w:w="127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8370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8100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8370</w:t>
            </w:r>
          </w:p>
        </w:tc>
        <w:tc>
          <w:tcPr>
            <w:tcW w:w="1241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8370</w:t>
            </w:r>
          </w:p>
        </w:tc>
      </w:tr>
      <w:tr w:rsidR="003B01FA" w:rsidTr="00FB0FF5">
        <w:tc>
          <w:tcPr>
            <w:tcW w:w="308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Домики 3-х местные с электричеством</w:t>
            </w:r>
          </w:p>
        </w:tc>
        <w:tc>
          <w:tcPr>
            <w:tcW w:w="1418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410</w:t>
            </w:r>
          </w:p>
        </w:tc>
        <w:tc>
          <w:tcPr>
            <w:tcW w:w="127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12710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12300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12710</w:t>
            </w:r>
          </w:p>
        </w:tc>
        <w:tc>
          <w:tcPr>
            <w:tcW w:w="1241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12710</w:t>
            </w:r>
          </w:p>
        </w:tc>
      </w:tr>
      <w:tr w:rsidR="003B01FA" w:rsidTr="00FB0FF5">
        <w:tc>
          <w:tcPr>
            <w:tcW w:w="308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 xml:space="preserve">Домики 5-ти местные </w:t>
            </w:r>
          </w:p>
        </w:tc>
        <w:tc>
          <w:tcPr>
            <w:tcW w:w="1418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715</w:t>
            </w:r>
          </w:p>
        </w:tc>
        <w:tc>
          <w:tcPr>
            <w:tcW w:w="1275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22165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21450</w:t>
            </w:r>
          </w:p>
        </w:tc>
        <w:tc>
          <w:tcPr>
            <w:tcW w:w="1276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22165</w:t>
            </w:r>
          </w:p>
        </w:tc>
        <w:tc>
          <w:tcPr>
            <w:tcW w:w="1241" w:type="dxa"/>
          </w:tcPr>
          <w:p w:rsidR="003B01FA" w:rsidRDefault="003B01FA" w:rsidP="00FB0FF5">
            <w:pPr>
              <w:pStyle w:val="a8"/>
              <w:ind w:left="0"/>
              <w:jc w:val="center"/>
            </w:pPr>
            <w:r>
              <w:t>22165</w:t>
            </w:r>
          </w:p>
        </w:tc>
      </w:tr>
    </w:tbl>
    <w:p w:rsidR="003B01FA" w:rsidRDefault="003B01FA" w:rsidP="003B01FA">
      <w:pPr>
        <w:pStyle w:val="a8"/>
        <w:ind w:left="0"/>
      </w:pPr>
    </w:p>
    <w:p w:rsidR="003B01FA" w:rsidRDefault="003B01FA" w:rsidP="003B01FA">
      <w:pPr>
        <w:pStyle w:val="a8"/>
        <w:ind w:left="0"/>
      </w:pPr>
      <w:r>
        <w:t>Примечание:</w:t>
      </w:r>
    </w:p>
    <w:p w:rsidR="003B01FA" w:rsidRDefault="003B01FA" w:rsidP="003B01FA">
      <w:pPr>
        <w:pStyle w:val="a8"/>
        <w:ind w:left="0" w:firstLine="708"/>
        <w:jc w:val="both"/>
      </w:pPr>
      <w:r>
        <w:t>Дети в возрасте до 7 лет включительно принимаются на отдых бесплатно.</w:t>
      </w:r>
    </w:p>
    <w:p w:rsidR="003B01FA" w:rsidRDefault="003B01FA" w:rsidP="003B01FA">
      <w:pPr>
        <w:pStyle w:val="a8"/>
        <w:ind w:left="0" w:firstLine="708"/>
        <w:jc w:val="both"/>
      </w:pPr>
      <w:r>
        <w:t>Дети в возрасте от 7 лет до 14 лет включительно принимаются с оплатой 50% стоимости проката домика, в котором ребенок отдыхает.</w:t>
      </w:r>
    </w:p>
    <w:p w:rsidR="003B01FA" w:rsidRDefault="003B01FA" w:rsidP="003B01FA">
      <w:pPr>
        <w:pStyle w:val="a8"/>
        <w:ind w:left="0" w:firstLine="708"/>
        <w:jc w:val="both"/>
      </w:pPr>
      <w:r>
        <w:t>Дети старше 14 лет принимаются на отдых на общих основаниях.</w:t>
      </w:r>
    </w:p>
    <w:p w:rsidR="003B01FA" w:rsidRDefault="003B01FA" w:rsidP="003B01FA">
      <w:pPr>
        <w:pStyle w:val="a8"/>
        <w:ind w:left="0" w:firstLine="708"/>
        <w:jc w:val="both"/>
      </w:pPr>
      <w:r>
        <w:t>За пребывание гостей в домиках сверх нормы размещения взимается плата с каждого человека из расчета одного места проката домика в день.</w:t>
      </w:r>
    </w:p>
    <w:p w:rsidR="003B01FA" w:rsidRDefault="003B01FA" w:rsidP="003B01FA">
      <w:pPr>
        <w:pStyle w:val="a8"/>
        <w:ind w:left="0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0"/>
        <w:jc w:val="both"/>
      </w:pPr>
    </w:p>
    <w:p w:rsidR="003B01FA" w:rsidRDefault="003B01FA" w:rsidP="003B01FA">
      <w:pPr>
        <w:pStyle w:val="a8"/>
        <w:ind w:left="2832" w:firstLine="708"/>
      </w:pPr>
      <w:r>
        <w:t xml:space="preserve">  </w:t>
      </w:r>
      <w:r>
        <w:tab/>
      </w:r>
      <w:r>
        <w:tab/>
      </w:r>
    </w:p>
    <w:p w:rsidR="003B01FA" w:rsidRDefault="003B01FA" w:rsidP="003B01FA">
      <w:pPr>
        <w:pStyle w:val="a8"/>
        <w:ind w:left="2832" w:firstLine="708"/>
      </w:pPr>
    </w:p>
    <w:p w:rsidR="003B01FA" w:rsidRDefault="003B01FA" w:rsidP="003B01FA">
      <w:pPr>
        <w:pStyle w:val="a8"/>
        <w:ind w:left="2832" w:firstLine="708"/>
      </w:pPr>
    </w:p>
    <w:p w:rsidR="003B01FA" w:rsidRDefault="003B01FA" w:rsidP="003B01FA">
      <w:pPr>
        <w:pStyle w:val="a8"/>
        <w:ind w:left="4956" w:firstLine="708"/>
      </w:pPr>
      <w:r>
        <w:t>Приложение 2</w:t>
      </w:r>
    </w:p>
    <w:p w:rsidR="003B01FA" w:rsidRDefault="003B01FA" w:rsidP="003B01FA">
      <w:pPr>
        <w:pStyle w:val="a8"/>
        <w:ind w:left="3540" w:firstLine="708"/>
        <w:jc w:val="center"/>
      </w:pPr>
      <w:r>
        <w:t xml:space="preserve">            к решению Совета депутатов </w:t>
      </w:r>
    </w:p>
    <w:p w:rsidR="003B01FA" w:rsidRDefault="003B01FA" w:rsidP="003B01FA">
      <w:pPr>
        <w:pStyle w:val="a8"/>
        <w:ind w:left="0"/>
        <w:jc w:val="right"/>
      </w:pPr>
      <w:r>
        <w:t xml:space="preserve">Лужского городского поселения </w:t>
      </w:r>
    </w:p>
    <w:p w:rsidR="003B01FA" w:rsidRDefault="003B01FA" w:rsidP="003B01FA">
      <w:pPr>
        <w:pStyle w:val="a8"/>
        <w:ind w:left="4248" w:firstLine="708"/>
        <w:jc w:val="center"/>
      </w:pPr>
      <w:r>
        <w:t>от 14.12.2011 № 215</w:t>
      </w:r>
    </w:p>
    <w:p w:rsidR="003B01FA" w:rsidRDefault="003B01FA" w:rsidP="003B01FA">
      <w:pPr>
        <w:pStyle w:val="a8"/>
        <w:ind w:left="4248" w:firstLine="708"/>
        <w:jc w:val="center"/>
      </w:pPr>
    </w:p>
    <w:p w:rsidR="003B01FA" w:rsidRDefault="003B01FA" w:rsidP="003B01FA">
      <w:pPr>
        <w:pStyle w:val="a8"/>
        <w:ind w:left="4248" w:firstLine="708"/>
        <w:jc w:val="center"/>
      </w:pPr>
    </w:p>
    <w:p w:rsidR="003B01FA" w:rsidRDefault="003B01FA" w:rsidP="003B01FA">
      <w:pPr>
        <w:pStyle w:val="a8"/>
        <w:ind w:left="2832" w:firstLine="708"/>
      </w:pPr>
    </w:p>
    <w:p w:rsidR="003B01FA" w:rsidRDefault="003B01FA" w:rsidP="003B01FA">
      <w:pPr>
        <w:pStyle w:val="a8"/>
        <w:ind w:left="0"/>
        <w:jc w:val="center"/>
      </w:pPr>
      <w:r>
        <w:t>Прейскурант</w:t>
      </w:r>
    </w:p>
    <w:p w:rsidR="003B01FA" w:rsidRDefault="003B01FA" w:rsidP="003B01FA">
      <w:pPr>
        <w:pStyle w:val="a8"/>
        <w:ind w:left="0"/>
        <w:jc w:val="center"/>
      </w:pPr>
      <w:r>
        <w:t xml:space="preserve">стоимости проката предметов бытового назначения </w:t>
      </w:r>
    </w:p>
    <w:p w:rsidR="003B01FA" w:rsidRDefault="003B01FA" w:rsidP="003B01FA">
      <w:pPr>
        <w:pStyle w:val="a8"/>
        <w:ind w:left="0"/>
        <w:jc w:val="center"/>
      </w:pPr>
      <w:r>
        <w:t>на базе «Лилия» на 2012 год</w:t>
      </w:r>
    </w:p>
    <w:p w:rsidR="003B01FA" w:rsidRDefault="003B01FA" w:rsidP="003B01FA">
      <w:pPr>
        <w:pStyle w:val="a8"/>
        <w:ind w:left="0"/>
        <w:jc w:val="center"/>
      </w:pPr>
    </w:p>
    <w:p w:rsidR="003B01FA" w:rsidRDefault="003B01FA" w:rsidP="003B01FA">
      <w:pPr>
        <w:pStyle w:val="a8"/>
        <w:ind w:left="2832" w:firstLine="708"/>
        <w:jc w:val="right"/>
      </w:pPr>
      <w: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880"/>
        <w:gridCol w:w="2442"/>
      </w:tblGrid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  <w:rPr>
                <w:b/>
              </w:rPr>
            </w:pPr>
            <w:r w:rsidRPr="00A02EE1">
              <w:rPr>
                <w:b/>
              </w:rPr>
              <w:t>Стоимость</w:t>
            </w:r>
          </w:p>
          <w:p w:rsidR="003B01FA" w:rsidRPr="00A02EE1" w:rsidRDefault="003B01FA" w:rsidP="00FB0FF5">
            <w:pPr>
              <w:spacing w:line="360" w:lineRule="auto"/>
              <w:jc w:val="center"/>
            </w:pPr>
            <w:r w:rsidRPr="00A02EE1">
              <w:rPr>
                <w:b/>
              </w:rPr>
              <w:t>в день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  <w:rPr>
                <w:b/>
              </w:rPr>
            </w:pPr>
            <w:r w:rsidRPr="00A02EE1">
              <w:rPr>
                <w:b/>
              </w:rPr>
              <w:t>Стоимость</w:t>
            </w:r>
          </w:p>
          <w:p w:rsidR="003B01FA" w:rsidRPr="00A02EE1" w:rsidRDefault="003B01FA" w:rsidP="00FB0FF5">
            <w:pPr>
              <w:spacing w:line="360" w:lineRule="auto"/>
              <w:jc w:val="center"/>
            </w:pPr>
            <w:r w:rsidRPr="00A02EE1">
              <w:rPr>
                <w:b/>
              </w:rPr>
              <w:t>в месяц</w:t>
            </w: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Холодильник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380</w:t>
            </w: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Кровать детская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106</w:t>
            </w: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Раскладушка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Матрац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Подушка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Одеяло байковое</w:t>
            </w:r>
            <w:r>
              <w:t>/ватное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Комплект постельного белья  (наволочка, простынь, пододеяльник)</w:t>
            </w:r>
          </w:p>
        </w:tc>
        <w:tc>
          <w:tcPr>
            <w:tcW w:w="2880" w:type="dxa"/>
          </w:tcPr>
          <w:p w:rsidR="003B01FA" w:rsidRDefault="003B01FA" w:rsidP="00FB0FF5">
            <w:pPr>
              <w:spacing w:line="360" w:lineRule="auto"/>
              <w:jc w:val="center"/>
            </w:pPr>
            <w:r>
              <w:t>(от 1 до 10 дней)</w:t>
            </w:r>
          </w:p>
          <w:p w:rsidR="003B01FA" w:rsidRPr="00A02EE1" w:rsidRDefault="003B01FA" w:rsidP="00FB0FF5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152</w:t>
            </w:r>
          </w:p>
        </w:tc>
      </w:tr>
      <w:tr w:rsidR="003B01FA" w:rsidRPr="00A02EE1" w:rsidTr="00FB0FF5">
        <w:tc>
          <w:tcPr>
            <w:tcW w:w="4248" w:type="dxa"/>
          </w:tcPr>
          <w:p w:rsidR="003B01FA" w:rsidRPr="00614768" w:rsidRDefault="003B01FA" w:rsidP="00FB0FF5">
            <w:pPr>
              <w:spacing w:line="360" w:lineRule="auto"/>
              <w:jc w:val="both"/>
            </w:pPr>
            <w:r w:rsidRPr="00614768">
              <w:t>Полотенце махровое</w:t>
            </w:r>
          </w:p>
          <w:p w:rsidR="003B01FA" w:rsidRPr="00614768" w:rsidRDefault="003B01FA" w:rsidP="00FB0FF5">
            <w:pPr>
              <w:spacing w:line="360" w:lineRule="auto"/>
              <w:jc w:val="both"/>
            </w:pPr>
          </w:p>
        </w:tc>
        <w:tc>
          <w:tcPr>
            <w:tcW w:w="2880" w:type="dxa"/>
          </w:tcPr>
          <w:p w:rsidR="003B01FA" w:rsidRDefault="003B01FA" w:rsidP="00FB0FF5">
            <w:pPr>
              <w:spacing w:line="360" w:lineRule="auto"/>
              <w:jc w:val="center"/>
            </w:pPr>
            <w:r>
              <w:t>(от 1 до 10 дней)</w:t>
            </w:r>
          </w:p>
          <w:p w:rsidR="003B01FA" w:rsidRPr="00A02EE1" w:rsidRDefault="003B01FA" w:rsidP="00FB0FF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35</w:t>
            </w: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Газовая плита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</w:tr>
      <w:tr w:rsidR="003B01FA" w:rsidRPr="00A02EE1" w:rsidTr="00FB0FF5">
        <w:tc>
          <w:tcPr>
            <w:tcW w:w="4248" w:type="dxa"/>
          </w:tcPr>
          <w:p w:rsidR="003B01FA" w:rsidRPr="00A02EE1" w:rsidRDefault="003B01FA" w:rsidP="00FB0FF5">
            <w:pPr>
              <w:spacing w:line="360" w:lineRule="auto"/>
              <w:jc w:val="both"/>
            </w:pPr>
            <w:r w:rsidRPr="00A02EE1">
              <w:t>Газовый баллон</w:t>
            </w:r>
          </w:p>
        </w:tc>
        <w:tc>
          <w:tcPr>
            <w:tcW w:w="2880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  <w:r>
              <w:t>4,50</w:t>
            </w:r>
          </w:p>
        </w:tc>
        <w:tc>
          <w:tcPr>
            <w:tcW w:w="2442" w:type="dxa"/>
          </w:tcPr>
          <w:p w:rsidR="003B01FA" w:rsidRPr="00A02EE1" w:rsidRDefault="003B01FA" w:rsidP="00FB0FF5">
            <w:pPr>
              <w:spacing w:line="360" w:lineRule="auto"/>
              <w:jc w:val="center"/>
            </w:pPr>
          </w:p>
        </w:tc>
      </w:tr>
    </w:tbl>
    <w:p w:rsidR="003B01FA" w:rsidRDefault="003B01FA" w:rsidP="003B01FA">
      <w:pPr>
        <w:spacing w:line="360" w:lineRule="auto"/>
        <w:ind w:left="-540"/>
        <w:jc w:val="both"/>
      </w:pPr>
    </w:p>
    <w:p w:rsidR="00471EF1" w:rsidRDefault="003B01FA" w:rsidP="003B01FA">
      <w:pPr>
        <w:spacing w:line="360" w:lineRule="auto"/>
        <w:ind w:left="-540" w:firstLine="1248"/>
        <w:jc w:val="both"/>
      </w:pPr>
      <w:r>
        <w:t>Примечание: В случае утраты или причинения ущерба имуществу возмещается его полная стоимость, определяемая по данным бухгалтерского учета на момент причинения ущерба (утраты).</w:t>
      </w:r>
    </w:p>
    <w:sectPr w:rsidR="00471EF1" w:rsidSect="00735EA9">
      <w:headerReference w:type="even" r:id="rId9"/>
      <w:footerReference w:type="even" r:id="rId10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E9" w:rsidRDefault="00CC1CE9">
      <w:r>
        <w:separator/>
      </w:r>
    </w:p>
  </w:endnote>
  <w:endnote w:type="continuationSeparator" w:id="0">
    <w:p w:rsidR="00CC1CE9" w:rsidRDefault="00CC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D7" w:rsidRDefault="003B01FA" w:rsidP="00D3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D7" w:rsidRDefault="00CC1C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E9" w:rsidRDefault="00CC1CE9">
      <w:r>
        <w:separator/>
      </w:r>
    </w:p>
  </w:footnote>
  <w:footnote w:type="continuationSeparator" w:id="0">
    <w:p w:rsidR="00CC1CE9" w:rsidRDefault="00CC1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D7" w:rsidRDefault="003B01FA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A5CD7" w:rsidRDefault="00CC1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AB1"/>
    <w:multiLevelType w:val="hybridMultilevel"/>
    <w:tmpl w:val="5F42D166"/>
    <w:lvl w:ilvl="0" w:tplc="B952140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FA"/>
    <w:rsid w:val="003B01FA"/>
    <w:rsid w:val="00471EF1"/>
    <w:rsid w:val="00593279"/>
    <w:rsid w:val="00A63398"/>
    <w:rsid w:val="00C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F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01FA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01FA"/>
    <w:rPr>
      <w:rFonts w:eastAsia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3B01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B01FA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01FA"/>
  </w:style>
  <w:style w:type="paragraph" w:styleId="a6">
    <w:name w:val="header"/>
    <w:basedOn w:val="a"/>
    <w:link w:val="a7"/>
    <w:rsid w:val="003B0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01FA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01F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B0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1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2281</Characters>
  <Application>Microsoft Office Word</Application>
  <DocSecurity>0</DocSecurity>
  <Lines>19</Lines>
  <Paragraphs>5</Paragraphs>
  <ScaleCrop>false</ScaleCrop>
  <Company>Администрация ЛГП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3</cp:revision>
  <dcterms:created xsi:type="dcterms:W3CDTF">2011-12-22T10:06:00Z</dcterms:created>
  <dcterms:modified xsi:type="dcterms:W3CDTF">2012-01-12T07:01:00Z</dcterms:modified>
</cp:coreProperties>
</file>