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606A0D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3060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6955B8">
        <w:rPr>
          <w:rFonts w:ascii="Times New Roman" w:hAnsi="Times New Roman" w:cs="Times New Roman"/>
          <w:sz w:val="28"/>
          <w:szCs w:val="28"/>
        </w:rPr>
        <w:t>20 марта</w:t>
      </w:r>
      <w:r w:rsidR="0000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C21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5B8">
        <w:rPr>
          <w:rFonts w:ascii="Times New Roman" w:hAnsi="Times New Roman" w:cs="Times New Roman"/>
          <w:sz w:val="28"/>
          <w:szCs w:val="28"/>
        </w:rPr>
        <w:t>812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F66A2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6A29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E3060B" w:rsidRDefault="00E3060B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3060B" w:rsidRDefault="00E3060B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E3060B" w:rsidRPr="00C17CE5" w:rsidRDefault="00E3060B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F66A2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6A29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E3060B" w:rsidRPr="00FE78A3" w:rsidRDefault="00E3060B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</w:t>
      </w:r>
      <w:proofErr w:type="gramEnd"/>
      <w:r>
        <w:rPr>
          <w:rFonts w:hint="eastAsia"/>
          <w:sz w:val="28"/>
          <w:szCs w:val="28"/>
        </w:rPr>
        <w:t xml:space="preserve">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A62FB1" w:rsidRDefault="00A62FB1" w:rsidP="00A62FB1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t xml:space="preserve"> </w:t>
      </w:r>
      <w:r>
        <w:t>программа) изложить в новой редакции:</w:t>
      </w:r>
    </w:p>
    <w:p w:rsidR="00F15CA0" w:rsidRPr="00F15CA0" w:rsidRDefault="00F15CA0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rPr>
          <w:rFonts w:hint="eastAsia"/>
        </w:rPr>
        <w:t>паспорт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согласно приложению 1 к настоящему постановлению</w:t>
      </w:r>
      <w:r w:rsidR="006F1ECF">
        <w:t>;</w:t>
      </w:r>
    </w:p>
    <w:p w:rsidR="009F6812" w:rsidRDefault="009F6812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t xml:space="preserve">план реализации муниципальной программы Лужского муниципального района Ленинградской области «Развитие сельского </w:t>
      </w:r>
      <w:r>
        <w:lastRenderedPageBreak/>
        <w:t>хозяйства Лужского муниципального района Ленинградской области» на период 2024-202</w:t>
      </w:r>
      <w:r w:rsidR="00E3060B">
        <w:t>7</w:t>
      </w:r>
      <w:r>
        <w:t xml:space="preserve"> годов приложения 1 к Муниципальной программе согласно приложению </w:t>
      </w:r>
      <w:r w:rsidR="006F1ECF">
        <w:t>2</w:t>
      </w:r>
      <w:r w:rsidR="00526CDB">
        <w:t xml:space="preserve"> к настоящему постановлению.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</w:t>
      </w:r>
      <w:r w:rsidRPr="00CE5FDF">
        <w:t xml:space="preserve"> </w:t>
      </w:r>
      <w:r>
        <w:t>подлежит официальному опубликованию</w:t>
      </w:r>
      <w:r w:rsidRPr="00E154B3">
        <w:t>.</w:t>
      </w:r>
    </w:p>
    <w:p w:rsidR="00CE5FDF" w:rsidRPr="00CE5FDF" w:rsidRDefault="00CE5FDF" w:rsidP="00CE5FDF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CE5FDF">
        <w:t>официального опубликования.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r w:rsidR="00A62FB1">
        <w:rPr>
          <w:color w:val="auto"/>
          <w:sz w:val="28"/>
          <w:szCs w:val="28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F1ECF" w:rsidRDefault="006F1ECF" w:rsidP="000078C5">
      <w:pPr>
        <w:widowControl w:val="0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928F5">
        <w:rPr>
          <w:rFonts w:ascii="Times New Roman" w:eastAsia="Times New Roman" w:hAnsi="Times New Roman" w:cs="Times New Roman"/>
          <w:bCs/>
          <w:sz w:val="28"/>
          <w:szCs w:val="28"/>
        </w:rPr>
        <w:t>20.03.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216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8C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8928F5">
        <w:rPr>
          <w:rFonts w:ascii="Times New Roman" w:eastAsia="Times New Roman" w:hAnsi="Times New Roman" w:cs="Times New Roman"/>
          <w:bCs/>
          <w:sz w:val="28"/>
          <w:szCs w:val="28"/>
        </w:rPr>
        <w:t>812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1ECF" w:rsidRP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p w:rsidR="008928F5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Лужского муниципального района Ленинградской области»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B736ED" w:rsidRPr="00B736ED" w:rsidRDefault="00B736ED" w:rsidP="00B736ED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E3060B" w:rsidTr="00E3060B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2019-2027 годы</w:t>
            </w:r>
          </w:p>
        </w:tc>
      </w:tr>
      <w:tr w:rsidR="00E3060B" w:rsidTr="00E3060B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агропромышленного комплекса  администрации Лужского муниципального района</w:t>
            </w:r>
          </w:p>
        </w:tc>
      </w:tr>
      <w:tr w:rsidR="00E3060B" w:rsidTr="00E3060B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предприятия; </w:t>
            </w:r>
          </w:p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и сельских поселений Лужского муниципального района; </w:t>
            </w:r>
          </w:p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крестьянские (фермерские) хозяйства; </w:t>
            </w:r>
          </w:p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ведущие личное подсобное хозяйство;</w:t>
            </w:r>
          </w:p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предприниматели, занятые сельскохозяйственным  производством;</w:t>
            </w:r>
          </w:p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потребительские кооперативы;  </w:t>
            </w:r>
          </w:p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садоводческие и огороднические некоммерческие товарищества; </w:t>
            </w:r>
          </w:p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«Единая служба заказчика» Лужского муниципального района Ленинградской области</w:t>
            </w:r>
          </w:p>
        </w:tc>
      </w:tr>
      <w:tr w:rsidR="00E3060B" w:rsidTr="00E3060B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 и с</w:t>
            </w:r>
            <w:r>
              <w:rPr>
                <w:rFonts w:ascii="Times New Roman" w:eastAsia="Times New Roman" w:hAnsi="Times New Roman" w:cs="Times New Roman"/>
              </w:rPr>
              <w:t>оздание комфортных условий жизнедеятельности на сельских территориях</w:t>
            </w:r>
          </w:p>
        </w:tc>
      </w:tr>
      <w:tr w:rsidR="00E3060B" w:rsidTr="00E3060B">
        <w:trPr>
          <w:trHeight w:val="169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 w:rsidP="00E3060B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Создание условий для увеличения объема производства качественной сельскохозяйственной продукции.</w:t>
            </w:r>
          </w:p>
          <w:p w:rsidR="00E3060B" w:rsidRDefault="00E3060B" w:rsidP="00E3060B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благоприятной социальной среды и повышение уровня жизни сельского населения</w:t>
            </w:r>
          </w:p>
        </w:tc>
      </w:tr>
      <w:tr w:rsidR="00E3060B" w:rsidTr="00E3060B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60B" w:rsidRDefault="00E3060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концу 2027 года:</w:t>
            </w:r>
          </w:p>
          <w:p w:rsidR="00E3060B" w:rsidRDefault="00E3060B" w:rsidP="00E3060B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 –                                        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2 596 532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E3060B" w:rsidRDefault="00E3060B" w:rsidP="00E3060B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прирост поголовья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животных, % к предыдущему году – 100%;</w:t>
            </w:r>
          </w:p>
          <w:p w:rsidR="00E3060B" w:rsidRDefault="00E3060B" w:rsidP="00E3060B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образований, реализовавших проекты по капитальному ремонту объектов культуры в рамках реализации мероприятий направленных на  достижение цели федерального проекта «Современный облик сельских территорий» (нарастающим итогом)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3060B" w:rsidRDefault="00E3060B" w:rsidP="00E3060B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освобождения земельных площадей, от засоренности борщевиком Сосновского - не менее 854 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3060B" w:rsidRDefault="00E3060B" w:rsidP="00E3060B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привлеченных сельских поселений к участию в муниципальной программе – 90 %, в </w:t>
            </w:r>
            <w:proofErr w:type="gramStart"/>
            <w:r>
              <w:rPr>
                <w:rFonts w:ascii="Times New Roman" w:hAnsi="Times New Roman" w:cs="Times New Roman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числе;</w:t>
            </w:r>
          </w:p>
          <w:p w:rsidR="00E3060B" w:rsidRDefault="00E3060B" w:rsidP="00E3060B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и дошкольных</w:t>
            </w:r>
            <w:r>
              <w:rPr>
                <w:rFonts w:ascii="Times New Roman" w:eastAsia="Times New Roman" w:hAnsi="Times New Roman" w:cs="Times New Roman"/>
              </w:rPr>
              <w:t xml:space="preserve"> образовательных учреждений, в которых выполнены работы по капитальному ремонту, строительству и реконструкции - 8 ед.</w:t>
            </w:r>
          </w:p>
        </w:tc>
      </w:tr>
      <w:tr w:rsidR="00E3060B" w:rsidTr="00E3060B">
        <w:trPr>
          <w:trHeight w:val="123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Общий объем финансирования муниципальной программы за весь период реализации составит                            1 544 830,47530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тыс. рублей</w:t>
            </w:r>
          </w:p>
        </w:tc>
      </w:tr>
      <w:tr w:rsidR="00E3060B" w:rsidTr="00E3060B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B736ED" w:rsidRPr="00B736ED" w:rsidSect="00B736ED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28F5">
        <w:rPr>
          <w:sz w:val="28"/>
          <w:szCs w:val="28"/>
        </w:rPr>
        <w:t>20.03.</w:t>
      </w:r>
      <w:r>
        <w:rPr>
          <w:sz w:val="28"/>
          <w:szCs w:val="28"/>
        </w:rPr>
        <w:t>202</w:t>
      </w:r>
      <w:r w:rsidR="00C2168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28F5">
        <w:rPr>
          <w:sz w:val="28"/>
          <w:szCs w:val="28"/>
        </w:rPr>
        <w:t>812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План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«Развитие сельского хозяйства Лужского муниципального района Ленинградской области»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на период 2024-202</w:t>
      </w:r>
      <w:r w:rsidR="00C21682">
        <w:rPr>
          <w:sz w:val="28"/>
          <w:szCs w:val="28"/>
        </w:rPr>
        <w:t>7</w:t>
      </w:r>
      <w:r w:rsidRPr="00B736ED">
        <w:rPr>
          <w:sz w:val="28"/>
          <w:szCs w:val="28"/>
        </w:rPr>
        <w:t xml:space="preserve"> годов</w:t>
      </w: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818"/>
        <w:gridCol w:w="1844"/>
        <w:gridCol w:w="1644"/>
        <w:gridCol w:w="6"/>
        <w:gridCol w:w="1462"/>
        <w:gridCol w:w="6"/>
        <w:gridCol w:w="1552"/>
        <w:gridCol w:w="6"/>
        <w:gridCol w:w="1269"/>
        <w:gridCol w:w="6"/>
        <w:gridCol w:w="957"/>
        <w:gridCol w:w="6"/>
        <w:gridCol w:w="1310"/>
        <w:gridCol w:w="6"/>
        <w:gridCol w:w="1620"/>
        <w:gridCol w:w="6"/>
      </w:tblGrid>
      <w:tr w:rsidR="00E3060B" w:rsidTr="008928F5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E3060B" w:rsidTr="008928F5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060B" w:rsidTr="008928F5">
        <w:trPr>
          <w:trHeight w:val="18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 w:rsidP="008928F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260 826,36805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117 880,02352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49 848,34453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446 207,67727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133 309,36958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117 174,00769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316 105,56763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67 936,32173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103 974,24590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48 647,52819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36 343,52819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060B" w:rsidTr="00E3060B">
        <w:trPr>
          <w:trHeight w:val="37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1 071 787,14114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355 469,24302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283 300,59812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233 092,90751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98 401,56298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414 385,35816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113 271,05047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283 022,26838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46 637,02248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проектной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945 017,96498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272 827,06686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Отраслевой проект «Современный облик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231 217,41795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96 526,07342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2.1-2.4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Администрация ЛМР / МКУ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«Лужский ЦБУК»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405 341,63725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104 227,32956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280 957,63690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ind w:left="34" w:hanging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44 572,39100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930 045,58610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257 854,68798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424 366,30000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140 054,82004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338 330,77804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37 216,47035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262 650,31741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26 265,07151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741 035,91549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77 496,01737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77 661,99171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69 010,99171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26 072,78616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26 072,78616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109 734,77787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101 083,77787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40 938,07305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40 938,07305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4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79 274,89274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79 274,89274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2.1. Иные межбюджетные трансферты на поддержку ЖКХ, развитие общественной и транспортной инфраструктуры поселений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14 972,37888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16 529,94560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16529,94560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890,65300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890,56300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1.1.3 Личных подсобных хозяй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1.2.Расходы на организацию и проведение ярмарок, конкурсов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1.9-1.10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1.4. Полномочия по поддержке сельскохозяйственного производства (возмещение части затрат по приобретению комбикорма)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27 612,00000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27 612,00000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1.5. Полномочия по поддержке сельскохозяйственного производства (возмещение части затрат по содержанию маточного поголовья сельскохозяйственных животных)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3 100,00000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3 100,00000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E3060B" w:rsidTr="00E3060B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0B" w:rsidRDefault="00E306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8 260,00000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8 260,00000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0B" w:rsidRDefault="00E3060B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B736ED" w:rsidRP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0E5480">
      <w:pgSz w:w="16837" w:h="11905" w:orient="landscape"/>
      <w:pgMar w:top="993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AC" w:rsidRDefault="004A03AC" w:rsidP="001849F8">
      <w:r>
        <w:separator/>
      </w:r>
    </w:p>
  </w:endnote>
  <w:endnote w:type="continuationSeparator" w:id="0">
    <w:p w:rsidR="004A03AC" w:rsidRDefault="004A03A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AC" w:rsidRDefault="004A03AC"/>
  </w:footnote>
  <w:footnote w:type="continuationSeparator" w:id="0">
    <w:p w:rsidR="004A03AC" w:rsidRDefault="004A03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2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B2DA9"/>
    <w:rsid w:val="000C5D1E"/>
    <w:rsid w:val="000D1DD8"/>
    <w:rsid w:val="000D4F1A"/>
    <w:rsid w:val="000D6E46"/>
    <w:rsid w:val="000E24D0"/>
    <w:rsid w:val="000E548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C7E6C"/>
    <w:rsid w:val="001D06FA"/>
    <w:rsid w:val="001D1801"/>
    <w:rsid w:val="001D35BD"/>
    <w:rsid w:val="001D4BA9"/>
    <w:rsid w:val="001D72DE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977B7"/>
    <w:rsid w:val="002A6407"/>
    <w:rsid w:val="002B6F54"/>
    <w:rsid w:val="002C4465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A03AC"/>
    <w:rsid w:val="004B1D0D"/>
    <w:rsid w:val="004B36BD"/>
    <w:rsid w:val="004B466D"/>
    <w:rsid w:val="004B50DB"/>
    <w:rsid w:val="004D0ADD"/>
    <w:rsid w:val="004E0986"/>
    <w:rsid w:val="004E2E92"/>
    <w:rsid w:val="004E742B"/>
    <w:rsid w:val="00500BAD"/>
    <w:rsid w:val="00504907"/>
    <w:rsid w:val="00504FB1"/>
    <w:rsid w:val="00506DAD"/>
    <w:rsid w:val="00520412"/>
    <w:rsid w:val="00526CD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06A0D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955B8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309E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928F5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2FB1"/>
    <w:rsid w:val="00A75B7B"/>
    <w:rsid w:val="00A76583"/>
    <w:rsid w:val="00A91100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736ED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682"/>
    <w:rsid w:val="00C21EFC"/>
    <w:rsid w:val="00C317E4"/>
    <w:rsid w:val="00C324D2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DF28E3"/>
    <w:rsid w:val="00E01262"/>
    <w:rsid w:val="00E10408"/>
    <w:rsid w:val="00E154B3"/>
    <w:rsid w:val="00E3060B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6A29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E1568D-2F9F-4E5D-84B1-10B9711D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2022-07-13T12:46:00Z</cp:lastPrinted>
  <dcterms:created xsi:type="dcterms:W3CDTF">2025-03-20T06:13:00Z</dcterms:created>
  <dcterms:modified xsi:type="dcterms:W3CDTF">2025-03-20T06:17:00Z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