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2A" w:rsidRPr="006C6769" w:rsidRDefault="00FC382A" w:rsidP="00FC382A">
      <w:pPr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ИЗВЕЩЕНИЕ</w:t>
      </w:r>
    </w:p>
    <w:p w:rsidR="00FC382A" w:rsidRPr="006C6769" w:rsidRDefault="00FC382A" w:rsidP="00FC38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lang w:eastAsia="en-US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О ПРОВЕДЕНИИ ОБЩЕСТВЕННЫХ ОБСУЖДЕНИЙ</w:t>
      </w:r>
    </w:p>
    <w:p w:rsidR="00EF51A3" w:rsidRPr="00554A1B" w:rsidRDefault="00FC382A" w:rsidP="00EF51A3">
      <w:pPr>
        <w:jc w:val="both"/>
        <w:rPr>
          <w:rFonts w:ascii="Times New Roman" w:hAnsi="Times New Roman" w:cs="Times New Roman"/>
        </w:rPr>
      </w:pPr>
      <w:r w:rsidRPr="006C6769">
        <w:rPr>
          <w:rFonts w:ascii="Times New Roman" w:eastAsia="Calibri" w:hAnsi="Times New Roman" w:cs="Times New Roman"/>
          <w:b/>
          <w:color w:val="auto"/>
          <w:sz w:val="28"/>
          <w:lang w:eastAsia="en-US"/>
        </w:rPr>
        <w:t>по проекту нормативного правового акта:</w:t>
      </w:r>
      <w:r w:rsidR="00EF51A3" w:rsidRPr="00EF51A3">
        <w:rPr>
          <w:rFonts w:ascii="Times New Roman" w:hAnsi="Times New Roman" w:cs="Times New Roman"/>
        </w:rPr>
        <w:t xml:space="preserve"> </w:t>
      </w:r>
      <w:r w:rsidR="00EF51A3" w:rsidRPr="00554A1B">
        <w:rPr>
          <w:rFonts w:ascii="Times New Roman" w:hAnsi="Times New Roman" w:cs="Times New Roman"/>
        </w:rPr>
        <w:t>о внесении изменений в Решение совета депутатов Лужского муниципального района от 14.06.2011 № 172 «О размещении наружной рекламы на территории Лужского муниципального района Ленинградской области».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6419"/>
      </w:tblGrid>
      <w:tr w:rsidR="00FC382A" w:rsidRPr="006C6769" w:rsidTr="00D03227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Разработчик проекта: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6C6769" w:rsidRDefault="0028573A" w:rsidP="0028573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Отдел экономики и потребительского рынка комитета экономического развития и инвестиционной деятельности</w:t>
            </w:r>
          </w:p>
        </w:tc>
      </w:tr>
      <w:tr w:rsidR="00FC382A" w:rsidRPr="006C6769" w:rsidTr="00D03227"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center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</w:tc>
      </w:tr>
    </w:tbl>
    <w:p w:rsidR="00FC382A" w:rsidRPr="006C6769" w:rsidRDefault="00FC382A" w:rsidP="00FC382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дминистрации Лужского муниципального района, 188230, Ленинградская обл</w:t>
      </w:r>
      <w:r>
        <w:rPr>
          <w:rFonts w:ascii="Times New Roman" w:eastAsia="Calibri" w:hAnsi="Times New Roman" w:cs="Times New Roman"/>
          <w:color w:val="auto"/>
          <w:lang w:eastAsia="en-US"/>
        </w:rPr>
        <w:t>асть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</w:t>
      </w:r>
      <w:proofErr w:type="gramStart"/>
      <w:r w:rsidRPr="006C6769">
        <w:rPr>
          <w:rFonts w:ascii="Times New Roman" w:eastAsia="Calibri" w:hAnsi="Times New Roman" w:cs="Times New Roman"/>
          <w:color w:val="auto"/>
          <w:lang w:eastAsia="en-US"/>
        </w:rPr>
        <w:t>г</w:t>
      </w:r>
      <w:proofErr w:type="gramEnd"/>
      <w:r w:rsidRPr="006C6769">
        <w:rPr>
          <w:rFonts w:ascii="Times New Roman" w:eastAsia="Calibri" w:hAnsi="Times New Roman" w:cs="Times New Roman"/>
          <w:color w:val="auto"/>
          <w:lang w:eastAsia="en-US"/>
        </w:rPr>
        <w:t>. Луга, пр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Кирова, д.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3"/>
        <w:gridCol w:w="4527"/>
      </w:tblGrid>
      <w:tr w:rsidR="00FC382A" w:rsidRPr="006C6769" w:rsidTr="002857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C6769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/>
              </w:rPr>
              <w:t>Электронный адрес в сети Интернет: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382A" w:rsidRPr="006C6769" w:rsidRDefault="0028573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28573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http://www.luga.ru/</w:t>
            </w:r>
          </w:p>
        </w:tc>
      </w:tr>
      <w:tr w:rsidR="00FC382A" w:rsidRPr="006C6769" w:rsidTr="002857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C382A" w:rsidRPr="006C6769" w:rsidRDefault="00FC382A" w:rsidP="0028573A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C382A" w:rsidRPr="006C6769" w:rsidRDefault="00FC382A" w:rsidP="0028573A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FC382A" w:rsidRPr="006C6769" w:rsidRDefault="00FC382A" w:rsidP="00FC382A">
      <w:pPr>
        <w:pBdr>
          <w:bottom w:val="single" w:sz="12" w:space="1" w:color="auto"/>
        </w:pBdr>
        <w:spacing w:before="240" w:after="240"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Лицо, ответственное за проведение общественных обсуждений</w:t>
      </w:r>
      <w:r w:rsidRPr="006C6769">
        <w:rPr>
          <w:rFonts w:ascii="Times New Roman" w:eastAsia="Times New Roman" w:hAnsi="Times New Roman" w:cs="Times New Roman"/>
          <w:color w:val="auto"/>
        </w:rPr>
        <w:t>:</w:t>
      </w:r>
    </w:p>
    <w:p w:rsidR="00FC382A" w:rsidRPr="006C6769" w:rsidRDefault="0028573A" w:rsidP="00FC382A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Котова Дарья Александровна – ведущий специалист отдела экономики и потребительского рынка комитета экономического развития и инвестиционной деятельности</w:t>
      </w:r>
    </w:p>
    <w:p w:rsidR="00FC382A" w:rsidRPr="006C6769" w:rsidRDefault="00FC382A" w:rsidP="00FC382A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Срок проведения общественного обсуждения проекта муниципального нормативного правового акта</w:t>
      </w:r>
      <w:r w:rsidR="0030178D">
        <w:rPr>
          <w:rFonts w:ascii="Times New Roman" w:eastAsia="Times New Roman" w:hAnsi="Times New Roman" w:cs="Times New Roman"/>
          <w:color w:val="auto"/>
        </w:rPr>
        <w:t>: с 1</w:t>
      </w:r>
      <w:r w:rsidR="0030178D" w:rsidRPr="0030178D">
        <w:rPr>
          <w:rFonts w:ascii="Times New Roman" w:eastAsia="Times New Roman" w:hAnsi="Times New Roman" w:cs="Times New Roman"/>
          <w:color w:val="auto"/>
        </w:rPr>
        <w:t>3</w:t>
      </w:r>
      <w:r w:rsidR="0030178D">
        <w:rPr>
          <w:rFonts w:ascii="Times New Roman" w:eastAsia="Times New Roman" w:hAnsi="Times New Roman" w:cs="Times New Roman"/>
          <w:color w:val="auto"/>
        </w:rPr>
        <w:t>.10.</w:t>
      </w:r>
      <w:r w:rsidR="006B27E8">
        <w:rPr>
          <w:rFonts w:ascii="Times New Roman" w:eastAsia="Times New Roman" w:hAnsi="Times New Roman" w:cs="Times New Roman"/>
          <w:color w:val="auto"/>
        </w:rPr>
        <w:t xml:space="preserve"> 2018</w:t>
      </w:r>
      <w:r w:rsidR="0030178D">
        <w:rPr>
          <w:rFonts w:ascii="Times New Roman" w:eastAsia="Times New Roman" w:hAnsi="Times New Roman" w:cs="Times New Roman"/>
          <w:color w:val="auto"/>
        </w:rPr>
        <w:t xml:space="preserve"> по 2</w:t>
      </w:r>
      <w:r w:rsidR="0030178D" w:rsidRPr="0030178D">
        <w:rPr>
          <w:rFonts w:ascii="Times New Roman" w:eastAsia="Times New Roman" w:hAnsi="Times New Roman" w:cs="Times New Roman"/>
          <w:color w:val="auto"/>
        </w:rPr>
        <w:t>7</w:t>
      </w:r>
      <w:r w:rsidR="0028573A">
        <w:rPr>
          <w:rFonts w:ascii="Times New Roman" w:eastAsia="Times New Roman" w:hAnsi="Times New Roman" w:cs="Times New Roman"/>
          <w:color w:val="auto"/>
        </w:rPr>
        <w:t>.10. 2018</w:t>
      </w:r>
      <w:r w:rsidR="006B27E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>Порядок направления замечаний и (или) предложений к проекту нормативного правового акта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: Предложения и замечания </w:t>
      </w:r>
      <w:r>
        <w:rPr>
          <w:rFonts w:ascii="Times New Roman" w:eastAsia="Times New Roman" w:hAnsi="Times New Roman" w:cs="Times New Roman"/>
          <w:color w:val="auto"/>
        </w:rPr>
        <w:t>по проекту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указанного муниципального правового акта направлять ежедневно кроме субботы, воскресенья, праздничных дней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16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45 (пятница с 08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00 до 15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6C6769">
        <w:rPr>
          <w:rFonts w:ascii="Times New Roman" w:eastAsia="Times New Roman" w:hAnsi="Times New Roman" w:cs="Times New Roman"/>
          <w:color w:val="auto"/>
        </w:rPr>
        <w:t>30):</w:t>
      </w:r>
    </w:p>
    <w:p w:rsidR="00FC382A" w:rsidRPr="006C6769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 По почте на бумажном носителе по адресу: 188230, Ленинградская обл</w:t>
      </w:r>
      <w:r>
        <w:rPr>
          <w:rFonts w:ascii="Times New Roman" w:eastAsia="Times New Roman" w:hAnsi="Times New Roman" w:cs="Times New Roman"/>
          <w:color w:val="auto"/>
        </w:rPr>
        <w:t>асть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 w:rsidRPr="006C6769">
        <w:rPr>
          <w:rFonts w:ascii="Times New Roman" w:eastAsia="Times New Roman" w:hAnsi="Times New Roman" w:cs="Times New Roman"/>
          <w:color w:val="auto"/>
        </w:rPr>
        <w:t>г</w:t>
      </w:r>
      <w:proofErr w:type="gramEnd"/>
      <w:r w:rsidRPr="006C6769">
        <w:rPr>
          <w:rFonts w:ascii="Times New Roman" w:eastAsia="Times New Roman" w:hAnsi="Times New Roman" w:cs="Times New Roman"/>
          <w:color w:val="auto"/>
        </w:rPr>
        <w:t>. Луга, пр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Кирова, д. 73,</w:t>
      </w:r>
      <w:r w:rsidR="0028573A">
        <w:rPr>
          <w:rFonts w:ascii="Times New Roman" w:eastAsia="Times New Roman" w:hAnsi="Times New Roman" w:cs="Times New Roman"/>
          <w:color w:val="auto"/>
        </w:rPr>
        <w:t xml:space="preserve"> к. 39</w:t>
      </w:r>
      <w:r w:rsidRPr="006C6769">
        <w:rPr>
          <w:rFonts w:ascii="Times New Roman" w:eastAsia="Times New Roman" w:hAnsi="Times New Roman" w:cs="Times New Roman"/>
          <w:i/>
          <w:color w:val="auto"/>
        </w:rPr>
        <w:t>;</w:t>
      </w:r>
    </w:p>
    <w:p w:rsidR="00FC382A" w:rsidRPr="006C6769" w:rsidRDefault="00FC382A" w:rsidP="00FC382A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По электронной почте в виде прикрепленного файла на адрес: 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ekonluga</w:t>
      </w:r>
      <w:proofErr w:type="spellEnd"/>
      <w:r w:rsidR="0028573A" w:rsidRPr="0028573A">
        <w:rPr>
          <w:rFonts w:ascii="Times New Roman" w:eastAsia="Times New Roman" w:hAnsi="Times New Roman" w:cs="Times New Roman"/>
          <w:i/>
          <w:color w:val="auto"/>
        </w:rPr>
        <w:t>@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yandex</w:t>
      </w:r>
      <w:proofErr w:type="spellEnd"/>
      <w:r w:rsidR="0028573A" w:rsidRPr="0028573A">
        <w:rPr>
          <w:rFonts w:ascii="Times New Roman" w:eastAsia="Times New Roman" w:hAnsi="Times New Roman" w:cs="Times New Roman"/>
          <w:i/>
          <w:color w:val="auto"/>
        </w:rPr>
        <w:t>.</w:t>
      </w:r>
      <w:proofErr w:type="spellStart"/>
      <w:r w:rsidR="0028573A">
        <w:rPr>
          <w:rFonts w:ascii="Times New Roman" w:eastAsia="Times New Roman" w:hAnsi="Times New Roman" w:cs="Times New Roman"/>
          <w:i/>
          <w:color w:val="auto"/>
          <w:lang w:val="en-US"/>
        </w:rPr>
        <w:t>ru</w:t>
      </w:r>
      <w:proofErr w:type="spellEnd"/>
      <w:r w:rsidRPr="006C6769">
        <w:rPr>
          <w:rFonts w:ascii="Times New Roman" w:eastAsia="Times New Roman" w:hAnsi="Times New Roman" w:cs="Times New Roman"/>
          <w:i/>
          <w:color w:val="auto"/>
        </w:rPr>
        <w:t>;</w:t>
      </w:r>
    </w:p>
    <w:p w:rsidR="0030178D" w:rsidRPr="0030178D" w:rsidRDefault="00FC382A" w:rsidP="0030178D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 xml:space="preserve">в срок </w:t>
      </w:r>
      <w:r w:rsidR="0030178D">
        <w:rPr>
          <w:rFonts w:ascii="Times New Roman" w:eastAsia="Times New Roman" w:hAnsi="Times New Roman" w:cs="Times New Roman"/>
          <w:color w:val="auto"/>
        </w:rPr>
        <w:t>с 1</w:t>
      </w:r>
      <w:r w:rsidR="0030178D" w:rsidRPr="0030178D">
        <w:rPr>
          <w:rFonts w:ascii="Times New Roman" w:eastAsia="Times New Roman" w:hAnsi="Times New Roman" w:cs="Times New Roman"/>
          <w:color w:val="auto"/>
        </w:rPr>
        <w:t>3</w:t>
      </w:r>
      <w:r w:rsidR="0030178D">
        <w:rPr>
          <w:rFonts w:ascii="Times New Roman" w:eastAsia="Times New Roman" w:hAnsi="Times New Roman" w:cs="Times New Roman"/>
          <w:color w:val="auto"/>
        </w:rPr>
        <w:t>.10.</w:t>
      </w:r>
      <w:r w:rsidR="006B27E8">
        <w:rPr>
          <w:rFonts w:ascii="Times New Roman" w:eastAsia="Times New Roman" w:hAnsi="Times New Roman" w:cs="Times New Roman"/>
          <w:color w:val="auto"/>
        </w:rPr>
        <w:t xml:space="preserve"> 2018</w:t>
      </w:r>
      <w:r w:rsidR="0030178D">
        <w:rPr>
          <w:rFonts w:ascii="Times New Roman" w:eastAsia="Times New Roman" w:hAnsi="Times New Roman" w:cs="Times New Roman"/>
          <w:color w:val="auto"/>
        </w:rPr>
        <w:t xml:space="preserve"> по 2</w:t>
      </w:r>
      <w:r w:rsidR="0030178D" w:rsidRPr="00EF51A3">
        <w:rPr>
          <w:rFonts w:ascii="Times New Roman" w:eastAsia="Times New Roman" w:hAnsi="Times New Roman" w:cs="Times New Roman"/>
          <w:color w:val="auto"/>
        </w:rPr>
        <w:t>7</w:t>
      </w:r>
      <w:r w:rsidR="0030178D">
        <w:rPr>
          <w:rFonts w:ascii="Times New Roman" w:eastAsia="Times New Roman" w:hAnsi="Times New Roman" w:cs="Times New Roman"/>
          <w:color w:val="auto"/>
        </w:rPr>
        <w:t>.10. 2018</w:t>
      </w:r>
      <w:r w:rsidR="006B27E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C6769">
        <w:rPr>
          <w:rFonts w:ascii="Times New Roman" w:eastAsia="Times New Roman" w:hAnsi="Times New Roman" w:cs="Times New Roman"/>
          <w:color w:val="auto"/>
        </w:rPr>
        <w:t>Замечания и (или) предложения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поступившие по окончании установленного разработчиком срока общественного обсуждения проекта муниципального нормативного правового акта, не касающиеся предмета регулирования размещенного на официальном сайте </w:t>
      </w:r>
      <w:r>
        <w:rPr>
          <w:rFonts w:ascii="Times New Roman" w:eastAsia="Times New Roman" w:hAnsi="Times New Roman" w:cs="Times New Roman"/>
          <w:color w:val="auto"/>
        </w:rPr>
        <w:t>администрации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Лужского муниципального района </w:t>
      </w:r>
      <w:r w:rsidRPr="006C6769">
        <w:rPr>
          <w:rFonts w:ascii="Times New Roman" w:eastAsia="Times New Roman" w:hAnsi="Times New Roman" w:cs="Times New Roman"/>
          <w:color w:val="auto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6C6769">
        <w:rPr>
          <w:rFonts w:ascii="Times New Roman" w:eastAsia="Times New Roman" w:hAnsi="Times New Roman" w:cs="Times New Roman"/>
          <w:color w:val="auto"/>
        </w:rPr>
        <w:t xml:space="preserve"> рассмотрению не подлежат. </w:t>
      </w:r>
    </w:p>
    <w:p w:rsidR="00FC382A" w:rsidRPr="006C6769" w:rsidRDefault="00FC382A" w:rsidP="00FC382A">
      <w:pPr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FC382A" w:rsidRDefault="00FC382A" w:rsidP="00FC382A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>Дополнительную информацию можно получить у лица, ответственного за проведение общественных обсуждений</w:t>
      </w:r>
      <w:r>
        <w:rPr>
          <w:rFonts w:ascii="Times New Roman" w:eastAsia="Calibri" w:hAnsi="Times New Roman" w:cs="Times New Roman"/>
          <w:color w:val="auto"/>
          <w:lang w:eastAsia="en-US"/>
        </w:rPr>
        <w:t>,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посредством обращения по указанному электронному адре</w:t>
      </w:r>
      <w:r w:rsidR="0030178D">
        <w:rPr>
          <w:rFonts w:ascii="Times New Roman" w:eastAsia="Calibri" w:hAnsi="Times New Roman" w:cs="Times New Roman"/>
          <w:color w:val="auto"/>
          <w:lang w:eastAsia="en-US"/>
        </w:rPr>
        <w:t xml:space="preserve">су и по телефону: </w:t>
      </w:r>
      <w:r w:rsidR="006B27E8">
        <w:rPr>
          <w:rFonts w:ascii="Times New Roman" w:eastAsia="Calibri" w:hAnsi="Times New Roman" w:cs="Times New Roman"/>
          <w:color w:val="auto"/>
          <w:lang w:eastAsia="en-US"/>
        </w:rPr>
        <w:t>8 (813-72) 2-29</w:t>
      </w:r>
      <w:r w:rsidR="0030178D" w:rsidRPr="0030178D"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6B27E8">
        <w:rPr>
          <w:rFonts w:ascii="Times New Roman" w:eastAsia="Calibri" w:hAnsi="Times New Roman" w:cs="Times New Roman"/>
          <w:color w:val="auto"/>
          <w:lang w:eastAsia="en-US"/>
        </w:rPr>
        <w:t>08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C33E32" w:rsidRPr="006C6769" w:rsidRDefault="00C33E32" w:rsidP="00FC382A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382A" w:rsidRPr="006C6769" w:rsidRDefault="00FC382A" w:rsidP="00FC382A">
      <w:p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Общественные обсуждения проекта </w:t>
      </w:r>
      <w:r>
        <w:rPr>
          <w:rFonts w:ascii="Times New Roman" w:eastAsia="Times New Roman" w:hAnsi="Times New Roman" w:cs="Times New Roman"/>
          <w:color w:val="auto"/>
        </w:rPr>
        <w:t>муниципального нормативного правового акта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 проводятся в соответствии с Порядком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27D07">
        <w:rPr>
          <w:rFonts w:ascii="Times New Roman" w:eastAsia="Calibri" w:hAnsi="Times New Roman" w:cs="Times New Roman"/>
          <w:color w:val="auto"/>
          <w:lang w:eastAsia="en-US"/>
        </w:rPr>
        <w:t xml:space="preserve">общественного обсуждения проектов муниципальных нормативных правовых актов администрации Лужского муниципального района Ленинградской области, регулирующих предпринимательскую и инвестиционную </w:t>
      </w:r>
      <w:r w:rsidRPr="00E27D07">
        <w:rPr>
          <w:rFonts w:ascii="Times New Roman" w:eastAsia="Calibri" w:hAnsi="Times New Roman" w:cs="Times New Roman"/>
          <w:color w:val="auto"/>
          <w:lang w:eastAsia="en-US"/>
        </w:rPr>
        <w:lastRenderedPageBreak/>
        <w:t>деятельность на территории Лужского муниципального района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 xml:space="preserve">, утвержденным постановлением администрации Лужского муниципального района от </w:t>
      </w:r>
      <w:r>
        <w:rPr>
          <w:rFonts w:ascii="Times New Roman" w:eastAsia="Calibri" w:hAnsi="Times New Roman" w:cs="Times New Roman"/>
          <w:color w:val="auto"/>
          <w:lang w:eastAsia="en-US"/>
        </w:rPr>
        <w:t>09.10.2018 № 3143</w:t>
      </w:r>
      <w:r w:rsidRPr="006C6769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FC382A" w:rsidRDefault="00FC382A" w:rsidP="00C33E32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6C6769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br w:type="page"/>
      </w:r>
    </w:p>
    <w:p w:rsidR="00FC382A" w:rsidRPr="006C6769" w:rsidRDefault="00FC382A" w:rsidP="00FC382A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lastRenderedPageBreak/>
        <w:t>Пояснительная записка</w:t>
      </w:r>
    </w:p>
    <w:p w:rsidR="0030178D" w:rsidRPr="00554A1B" w:rsidRDefault="00FC382A" w:rsidP="0030178D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auto"/>
        </w:rPr>
        <w:t>к</w:t>
      </w:r>
      <w:r w:rsidRPr="006C6769">
        <w:rPr>
          <w:rFonts w:ascii="Times New Roman" w:eastAsia="Times New Roman" w:hAnsi="Times New Roman" w:cs="Times New Roman"/>
          <w:b/>
          <w:color w:val="auto"/>
        </w:rPr>
        <w:t xml:space="preserve"> проект</w:t>
      </w:r>
      <w:r>
        <w:rPr>
          <w:rFonts w:ascii="Times New Roman" w:eastAsia="Times New Roman" w:hAnsi="Times New Roman" w:cs="Times New Roman"/>
          <w:b/>
          <w:color w:val="auto"/>
        </w:rPr>
        <w:t>у нормативного правового акта</w:t>
      </w:r>
      <w:r w:rsidR="0030178D" w:rsidRPr="0030178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0178D" w:rsidRPr="00554A1B">
        <w:rPr>
          <w:rFonts w:ascii="Times New Roman" w:hAnsi="Times New Roman" w:cs="Times New Roman"/>
        </w:rPr>
        <w:t>о внесении изменений в Решение совета депутатов Лужского муниципального района от 14.06.2011 № 172 «О размещении наружной рекламы на территории Лужского муниципального района Ленинградской области».</w:t>
      </w:r>
    </w:p>
    <w:p w:rsidR="00FC382A" w:rsidRPr="006C6769" w:rsidRDefault="00FC382A" w:rsidP="0030178D">
      <w:pPr>
        <w:jc w:val="center"/>
        <w:rPr>
          <w:rFonts w:ascii="Times New Roman" w:eastAsia="Times New Roman" w:hAnsi="Times New Roman" w:cs="Times New Roman"/>
          <w:color w:val="auto"/>
          <w:sz w:val="22"/>
        </w:rPr>
      </w:pPr>
      <w:r w:rsidRPr="006C6769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FC382A" w:rsidRPr="006C6769" w:rsidRDefault="00FC382A" w:rsidP="00FC382A">
      <w:pPr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proofErr w:type="gramStart"/>
      <w:r w:rsidRPr="006C6769">
        <w:rPr>
          <w:rFonts w:ascii="Times New Roman" w:eastAsia="Times New Roman" w:hAnsi="Times New Roman" w:cs="Times New Roman"/>
          <w:color w:val="auto"/>
          <w:szCs w:val="28"/>
        </w:rPr>
        <w:t xml:space="preserve">Настоящий проект </w:t>
      </w:r>
      <w:r w:rsidRPr="00E27D07">
        <w:rPr>
          <w:rFonts w:ascii="Times New Roman" w:eastAsia="Times New Roman" w:hAnsi="Times New Roman" w:cs="Times New Roman"/>
          <w:color w:val="auto"/>
          <w:szCs w:val="28"/>
        </w:rPr>
        <w:t>нормативного правового акта</w:t>
      </w:r>
      <w:r w:rsidR="00554A1B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554A1B" w:rsidRPr="00554A1B">
        <w:rPr>
          <w:rFonts w:ascii="Times New Roman" w:hAnsi="Times New Roman" w:cs="Times New Roman"/>
        </w:rPr>
        <w:t>о внесении изменений в Решение совета депутатов Лужского муниципального района от 14.06.2011 № 172 «О размещении наружной рекламы на территории Лужского муниципального района Ленинградской области»</w:t>
      </w:r>
      <w:r w:rsidRPr="00E27D07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6C6769">
        <w:rPr>
          <w:rFonts w:ascii="Times New Roman" w:eastAsia="Times New Roman" w:hAnsi="Times New Roman" w:cs="Times New Roman"/>
          <w:color w:val="auto"/>
          <w:szCs w:val="28"/>
        </w:rPr>
        <w:t>подготовлен в соответствии с</w:t>
      </w:r>
      <w:r w:rsidR="00554A1B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554A1B" w:rsidRPr="007C1FCB">
        <w:rPr>
          <w:rFonts w:ascii="Times New Roman" w:hAnsi="Times New Roman" w:cs="Times New Roman"/>
          <w:sz w:val="27"/>
          <w:szCs w:val="27"/>
        </w:rPr>
        <w:t xml:space="preserve"> </w:t>
      </w:r>
      <w:r w:rsidR="00554A1B" w:rsidRPr="00554A1B">
        <w:rPr>
          <w:rFonts w:ascii="Times New Roman" w:hAnsi="Times New Roman" w:cs="Times New Roman"/>
        </w:rPr>
        <w:t>Федеральным законом от 06.10.2003 № 131- ФЗ «Об общих принципах организации местного самоуправления в Российской Федерации», ст. 19 Федерального закона от 13.03.2006 № 38 – ФЗ «О рекламе»</w:t>
      </w:r>
      <w:r w:rsidRPr="006C6769">
        <w:rPr>
          <w:rFonts w:ascii="Times New Roman" w:eastAsia="Times New Roman" w:hAnsi="Times New Roman" w:cs="Times New Roman"/>
          <w:color w:val="auto"/>
          <w:szCs w:val="28"/>
        </w:rPr>
        <w:t xml:space="preserve"> согласно кот</w:t>
      </w:r>
      <w:r w:rsidR="00554A1B">
        <w:rPr>
          <w:rFonts w:ascii="Times New Roman" w:eastAsia="Times New Roman" w:hAnsi="Times New Roman" w:cs="Times New Roman"/>
          <w:color w:val="auto"/>
          <w:szCs w:val="28"/>
        </w:rPr>
        <w:t>орым</w:t>
      </w:r>
      <w:proofErr w:type="gramEnd"/>
      <w:r w:rsidR="00554A1B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6B27E8">
        <w:rPr>
          <w:rFonts w:ascii="Times New Roman" w:eastAsia="Times New Roman" w:hAnsi="Times New Roman" w:cs="Times New Roman"/>
          <w:color w:val="auto"/>
          <w:szCs w:val="28"/>
        </w:rPr>
        <w:t>организация рекламной деятельности</w:t>
      </w:r>
      <w:r w:rsidRPr="006C6769">
        <w:rPr>
          <w:rFonts w:ascii="Times New Roman" w:eastAsia="Times New Roman" w:hAnsi="Times New Roman" w:cs="Times New Roman"/>
          <w:color w:val="auto"/>
          <w:szCs w:val="28"/>
        </w:rPr>
        <w:t xml:space="preserve"> входит в полномочия органов местного самоуправления</w:t>
      </w:r>
      <w:r w:rsidR="006B27E8">
        <w:rPr>
          <w:rFonts w:ascii="Times New Roman" w:eastAsia="Times New Roman" w:hAnsi="Times New Roman" w:cs="Times New Roman"/>
          <w:color w:val="auto"/>
          <w:szCs w:val="28"/>
        </w:rPr>
        <w:t xml:space="preserve"> района</w:t>
      </w:r>
      <w:r w:rsidRPr="006C6769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6B27E8" w:rsidRPr="00554A1B" w:rsidRDefault="00FC382A" w:rsidP="006B27E8">
      <w:pPr>
        <w:jc w:val="both"/>
        <w:rPr>
          <w:rFonts w:ascii="Times New Roman" w:hAnsi="Times New Roman" w:cs="Times New Roman"/>
        </w:rPr>
      </w:pPr>
      <w:proofErr w:type="gramStart"/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Проект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под</w:t>
      </w:r>
      <w:r w:rsidR="006B27E8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готовлен в целях привидения в соответствие с положениями, </w:t>
      </w:r>
      <w:r w:rsidR="006B27E8" w:rsidRPr="00554A1B">
        <w:rPr>
          <w:rFonts w:ascii="Times New Roman" w:hAnsi="Times New Roman" w:cs="Times New Roman"/>
        </w:rPr>
        <w:t>Федерального закона от 13.03.2006 № 38 – ФЗ «О рекламе»</w:t>
      </w:r>
      <w:r w:rsidR="006B27E8">
        <w:rPr>
          <w:rFonts w:ascii="Times New Roman" w:hAnsi="Times New Roman" w:cs="Times New Roman"/>
        </w:rPr>
        <w:t xml:space="preserve">, а также НПА изменяет размер </w:t>
      </w:r>
      <w:r w:rsidR="006B27E8" w:rsidRPr="006B27E8">
        <w:rPr>
          <w:rFonts w:ascii="Times New Roman" w:hAnsi="Times New Roman" w:cs="Times New Roman"/>
        </w:rPr>
        <w:t>базовой ставки оплаты за 1 кв. м. информационного поля рекламной конструкции в месяц</w:t>
      </w:r>
      <w:r w:rsidR="006B27E8" w:rsidRPr="006B27E8">
        <w:rPr>
          <w:rFonts w:ascii="Times New Roman" w:eastAsia="Calibri" w:hAnsi="Times New Roman" w:cs="Times New Roman"/>
          <w:color w:val="auto"/>
          <w:lang w:eastAsia="en-US"/>
        </w:rPr>
        <w:t xml:space="preserve"> и </w:t>
      </w:r>
      <w:r w:rsidR="006B27E8" w:rsidRPr="006B27E8">
        <w:rPr>
          <w:rFonts w:ascii="Times New Roman" w:hAnsi="Times New Roman" w:cs="Times New Roman"/>
        </w:rPr>
        <w:t>коэффициент</w:t>
      </w:r>
      <w:r w:rsidR="006B27E8">
        <w:rPr>
          <w:rFonts w:ascii="Times New Roman" w:hAnsi="Times New Roman" w:cs="Times New Roman"/>
        </w:rPr>
        <w:t>ы, отражающие</w:t>
      </w:r>
      <w:r w:rsidR="006B27E8" w:rsidRPr="006B27E8">
        <w:rPr>
          <w:rFonts w:ascii="Times New Roman" w:hAnsi="Times New Roman" w:cs="Times New Roman"/>
        </w:rPr>
        <w:t xml:space="preserve"> зависимость размера оплаты от площади информационного поля</w:t>
      </w:r>
      <w:r w:rsidR="006B27E8">
        <w:rPr>
          <w:rFonts w:ascii="Times New Roman" w:hAnsi="Times New Roman" w:cs="Times New Roman"/>
        </w:rPr>
        <w:t xml:space="preserve"> ранее утвержденных </w:t>
      </w:r>
      <w:r w:rsidR="006B27E8" w:rsidRPr="00554A1B">
        <w:rPr>
          <w:rFonts w:ascii="Times New Roman" w:hAnsi="Times New Roman" w:cs="Times New Roman"/>
        </w:rPr>
        <w:t>Решение</w:t>
      </w:r>
      <w:r w:rsidR="006B27E8">
        <w:rPr>
          <w:rFonts w:ascii="Times New Roman" w:hAnsi="Times New Roman" w:cs="Times New Roman"/>
        </w:rPr>
        <w:t>м</w:t>
      </w:r>
      <w:r w:rsidR="006B27E8" w:rsidRPr="00554A1B">
        <w:rPr>
          <w:rFonts w:ascii="Times New Roman" w:hAnsi="Times New Roman" w:cs="Times New Roman"/>
        </w:rPr>
        <w:t xml:space="preserve"> совета депутатов Лужского муниципального района от 14.06.2011 № 172 «О</w:t>
      </w:r>
      <w:proofErr w:type="gramEnd"/>
      <w:r w:rsidR="006B27E8" w:rsidRPr="00554A1B">
        <w:rPr>
          <w:rFonts w:ascii="Times New Roman" w:hAnsi="Times New Roman" w:cs="Times New Roman"/>
        </w:rPr>
        <w:t xml:space="preserve"> </w:t>
      </w:r>
      <w:proofErr w:type="gramStart"/>
      <w:r w:rsidR="006B27E8" w:rsidRPr="00554A1B">
        <w:rPr>
          <w:rFonts w:ascii="Times New Roman" w:hAnsi="Times New Roman" w:cs="Times New Roman"/>
        </w:rPr>
        <w:t>размещении</w:t>
      </w:r>
      <w:proofErr w:type="gramEnd"/>
      <w:r w:rsidR="006B27E8" w:rsidRPr="00554A1B">
        <w:rPr>
          <w:rFonts w:ascii="Times New Roman" w:hAnsi="Times New Roman" w:cs="Times New Roman"/>
        </w:rPr>
        <w:t xml:space="preserve"> наружной рекламы на территории Лужского муниципального района Ленинградской области».</w:t>
      </w:r>
    </w:p>
    <w:p w:rsidR="00FC382A" w:rsidRPr="006B27E8" w:rsidRDefault="00FC382A" w:rsidP="00FC382A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FC382A" w:rsidRPr="006C6769" w:rsidRDefault="00FC382A" w:rsidP="00FC382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При рассмотрении проекта данного </w:t>
      </w:r>
      <w:r w:rsidRPr="00F225DA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нормативного правового акта </w:t>
      </w:r>
      <w:r w:rsidRPr="006C6769">
        <w:rPr>
          <w:rFonts w:ascii="Times New Roman" w:eastAsia="Calibri" w:hAnsi="Times New Roman" w:cs="Times New Roman"/>
          <w:color w:val="auto"/>
          <w:szCs w:val="28"/>
          <w:lang w:eastAsia="en-US"/>
        </w:rPr>
        <w:t>установлено, что проект в целом соответствует вышеуказанным требованиям, проект не содержит норм, противоречащих требованиям действующего законодательства, не содержит внутренних противоречий и пробелов в правовом регулировании.</w:t>
      </w: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6C6769">
        <w:rPr>
          <w:rFonts w:ascii="Times New Roman" w:eastAsia="Calibri" w:hAnsi="Times New Roman" w:cs="Times New Roman"/>
          <w:color w:val="auto"/>
          <w:szCs w:val="22"/>
          <w:lang w:eastAsia="en-US"/>
        </w:rPr>
        <w:t>Ответственный исполнитель:</w:t>
      </w:r>
    </w:p>
    <w:p w:rsidR="00FC382A" w:rsidRPr="006C6769" w:rsidRDefault="00FC382A" w:rsidP="00FC382A">
      <w:pPr>
        <w:pBdr>
          <w:bottom w:val="single" w:sz="12" w:space="1" w:color="auto"/>
        </w:pBdr>
        <w:spacing w:line="276" w:lineRule="auto"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554A1B" w:rsidRPr="006C6769" w:rsidRDefault="00554A1B" w:rsidP="00554A1B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Котова Дарья Александровна – ведущий специалист отдела экономики и потребительского рынка комитета экономического развития и инвестиционной деятельности</w:t>
      </w:r>
    </w:p>
    <w:p w:rsidR="00FC382A" w:rsidRPr="006C6769" w:rsidRDefault="00FC382A" w:rsidP="00FC382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D47D2D" w:rsidRPr="00FC382A" w:rsidRDefault="00D47D2D"/>
    <w:sectPr w:rsidR="00D47D2D" w:rsidRPr="00FC382A" w:rsidSect="00285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7E8" w:rsidRDefault="006B27E8" w:rsidP="00C13401">
      <w:r>
        <w:separator/>
      </w:r>
    </w:p>
  </w:endnote>
  <w:endnote w:type="continuationSeparator" w:id="0">
    <w:p w:rsidR="006B27E8" w:rsidRDefault="006B27E8" w:rsidP="00C1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7E8" w:rsidRDefault="006B27E8" w:rsidP="00C13401">
      <w:r>
        <w:separator/>
      </w:r>
    </w:p>
  </w:footnote>
  <w:footnote w:type="continuationSeparator" w:id="0">
    <w:p w:rsidR="006B27E8" w:rsidRDefault="006B27E8" w:rsidP="00C13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E8" w:rsidRDefault="006B27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651"/>
    <w:multiLevelType w:val="hybridMultilevel"/>
    <w:tmpl w:val="E9924968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82A"/>
    <w:rsid w:val="0028573A"/>
    <w:rsid w:val="0030178D"/>
    <w:rsid w:val="003C3385"/>
    <w:rsid w:val="00554A1B"/>
    <w:rsid w:val="006B27E8"/>
    <w:rsid w:val="008260D5"/>
    <w:rsid w:val="00B55266"/>
    <w:rsid w:val="00C13401"/>
    <w:rsid w:val="00C33E32"/>
    <w:rsid w:val="00D03227"/>
    <w:rsid w:val="00D47D2D"/>
    <w:rsid w:val="00EF51A3"/>
    <w:rsid w:val="00FC382A"/>
    <w:rsid w:val="00FD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382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8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C382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C3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382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4</cp:revision>
  <cp:lastPrinted>2018-10-12T08:39:00Z</cp:lastPrinted>
  <dcterms:created xsi:type="dcterms:W3CDTF">2018-10-12T08:41:00Z</dcterms:created>
  <dcterms:modified xsi:type="dcterms:W3CDTF">2018-10-12T08:50:00Z</dcterms:modified>
</cp:coreProperties>
</file>