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EE3A58" w:rsidP="00E354E0">
      <w:pPr>
        <w:jc w:val="center"/>
      </w:pPr>
      <w:r w:rsidRPr="00EE3A58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1.45pt;margin-top:-24.2pt;width:123.5pt;height:38pt;z-index:251658752" stroked="f">
            <v:textbox>
              <w:txbxContent>
                <w:p w:rsidR="00F70BB3" w:rsidRPr="00F70BB3" w:rsidRDefault="00F70BB3" w:rsidP="00F70BB3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0BB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3F1431"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6C631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6C6313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F70BB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0BB3">
        <w:rPr>
          <w:rFonts w:ascii="Times New Roman" w:hAnsi="Times New Roman" w:cs="Times New Roman"/>
          <w:sz w:val="28"/>
          <w:szCs w:val="28"/>
        </w:rPr>
        <w:t>______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EE3A58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3A58">
        <w:rPr>
          <w:rFonts w:ascii="Century" w:hAnsi="Century"/>
          <w:noProof/>
          <w:sz w:val="20"/>
          <w:szCs w:val="20"/>
        </w:rPr>
        <w:pict>
          <v:shape id="_x0000_s1027" type="#_x0000_t202" style="position:absolute;left:0;text-align:left;margin-left:40.1pt;margin-top:12.15pt;width:248.65pt;height:139.25pt;z-index:251657728" stroked="f">
            <v:textbox style="mso-next-textbox:#_x0000_s1027">
              <w:txbxContent>
                <w:p w:rsidR="00E25C66" w:rsidRPr="003F1431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3F1431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372012" w:rsidRPr="003F1431" w:rsidRDefault="00E25C66" w:rsidP="002D55FD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3F1431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2D55FD" w:rsidRPr="002D55FD">
                    <w:rPr>
                      <w:rFonts w:ascii="Times New Roman" w:hAnsi="Times New Roman" w:cs="Times New Roman"/>
                    </w:rPr>
                    <w:t>08.04.2024 № 1229                    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      </w:r>
                  <w:r w:rsidR="00B64852" w:rsidRPr="003F143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EE3A58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E3A58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3F1431" w:rsidRDefault="003F1431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3F1431" w:rsidRDefault="003F1431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3F1431">
        <w:rPr>
          <w:sz w:val="28"/>
          <w:szCs w:val="28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210433" w:rsidRPr="00210433">
        <w:rPr>
          <w:rStyle w:val="FontStyle12"/>
          <w:sz w:val="28"/>
          <w:szCs w:val="28"/>
        </w:rPr>
        <w:t>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3F1431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Отделу по земельным ресурсам комитета по управлению муниципальным имуществом</w:t>
      </w:r>
      <w:r>
        <w:rPr>
          <w:rFonts w:hint="eastAsia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3F1431">
          <w:rPr>
            <w:rStyle w:val="FontStyle12"/>
            <w:sz w:val="28"/>
            <w:szCs w:val="28"/>
          </w:rPr>
          <w:t>www.luga.ru</w:t>
        </w:r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3F1431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Признать утратившим силу постановление администрации Лужского муниципального района </w:t>
      </w:r>
      <w:r>
        <w:rPr>
          <w:rStyle w:val="FontStyle12"/>
          <w:sz w:val="28"/>
          <w:szCs w:val="28"/>
        </w:rPr>
        <w:t xml:space="preserve">от </w:t>
      </w:r>
      <w:r w:rsidR="00210433">
        <w:rPr>
          <w:rStyle w:val="FontStyle12"/>
          <w:sz w:val="28"/>
          <w:szCs w:val="28"/>
        </w:rPr>
        <w:t>18.02.2025 № 462</w:t>
      </w:r>
      <w:r>
        <w:rPr>
          <w:rStyle w:val="FontStyle12"/>
          <w:sz w:val="28"/>
          <w:szCs w:val="28"/>
        </w:rPr>
        <w:t xml:space="preserve"> «Об утверждении проекта внесения изменений в постановление от </w:t>
      </w:r>
      <w:r w:rsidR="00210433" w:rsidRPr="00210433">
        <w:rPr>
          <w:rStyle w:val="FontStyle12"/>
          <w:sz w:val="28"/>
          <w:szCs w:val="28"/>
        </w:rPr>
        <w:t>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>
        <w:rPr>
          <w:rStyle w:val="FontStyle12"/>
          <w:sz w:val="28"/>
          <w:szCs w:val="28"/>
        </w:rPr>
        <w:t>»</w:t>
      </w:r>
      <w:r w:rsidR="001F3FE0"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3F1431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3F1431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6313" w:rsidRDefault="006C631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3F1431">
        <w:rPr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3FE0">
        <w:rPr>
          <w:sz w:val="28"/>
          <w:szCs w:val="28"/>
        </w:rPr>
        <w:t>_______202</w:t>
      </w:r>
      <w:r w:rsidR="0042199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F3FE0">
        <w:rPr>
          <w:sz w:val="28"/>
          <w:szCs w:val="28"/>
        </w:rPr>
        <w:t>_____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210433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210433" w:rsidRDefault="00210433" w:rsidP="00210433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210433" w:rsidRDefault="00210433" w:rsidP="00210433">
      <w:pPr>
        <w:widowControl w:val="0"/>
        <w:jc w:val="center"/>
      </w:pPr>
      <w:r>
        <w:rPr>
          <w:rStyle w:val="FontStyle17"/>
          <w:sz w:val="28"/>
          <w:szCs w:val="28"/>
        </w:rPr>
        <w:t>от 08.04.2024 № 1229 «Об утверждении административного регламента                              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</w:p>
    <w:p w:rsidR="00210433" w:rsidRDefault="00210433" w:rsidP="00210433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433" w:rsidRDefault="00210433" w:rsidP="00210433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Лужского муниципального района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210433" w:rsidRDefault="00210433" w:rsidP="00210433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210433" w:rsidRDefault="00210433" w:rsidP="00210433">
      <w:pPr>
        <w:pStyle w:val="1"/>
        <w:widowControl w:val="0"/>
        <w:tabs>
          <w:tab w:val="left" w:pos="1276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Заявление о предварительном согласовании предоставления земельного участка (форма № 1) приложения 1 к административному регламенту изложить в следующей редакции.</w:t>
      </w:r>
    </w:p>
    <w:p w:rsidR="00210433" w:rsidRDefault="00210433" w:rsidP="00210433">
      <w:pPr>
        <w:pStyle w:val="ConsPlusNormal"/>
        <w:ind w:firstLine="540"/>
        <w:jc w:val="both"/>
      </w:pPr>
    </w:p>
    <w:p w:rsidR="00210433" w:rsidRDefault="00210433" w:rsidP="0021043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«Форма № 1 (для физических лиц и индивидуальных предпринимателей)</w:t>
      </w:r>
    </w:p>
    <w:p w:rsidR="00210433" w:rsidRDefault="00210433" w:rsidP="00210433">
      <w:pPr>
        <w:pStyle w:val="ConsPlusNonformat"/>
        <w:ind w:left="5103"/>
        <w:jc w:val="both"/>
      </w:pPr>
      <w:r>
        <w:t xml:space="preserve">                                           В администрацию Лужского муниципального района Ленинградской области</w:t>
      </w:r>
    </w:p>
    <w:p w:rsidR="00210433" w:rsidRDefault="00210433" w:rsidP="00210433">
      <w:pPr>
        <w:pStyle w:val="ConsPlusNonformat"/>
        <w:ind w:left="5103"/>
        <w:jc w:val="both"/>
      </w:pPr>
      <w:r>
        <w:t>от 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10433" w:rsidRDefault="00210433" w:rsidP="00210433">
      <w:pPr>
        <w:pStyle w:val="ConsPlusNonformat"/>
        <w:ind w:left="3540" w:firstLine="708"/>
        <w:jc w:val="center"/>
      </w:pPr>
      <w:r>
        <w:t>(для физических лиц и индивидуальных предпринимателей)</w:t>
      </w:r>
    </w:p>
    <w:p w:rsidR="00210433" w:rsidRDefault="00210433" w:rsidP="00210433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210433" w:rsidRDefault="00210433" w:rsidP="00210433">
      <w:pPr>
        <w:pStyle w:val="ConsPlusNonformat"/>
        <w:jc w:val="both"/>
      </w:pPr>
      <w:r>
        <w:t xml:space="preserve">               о предварительном согласовании предоставления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земельного участка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>Заявитель: ________________________________________________________________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Для физических лиц:</w:t>
      </w:r>
    </w:p>
    <w:p w:rsidR="00210433" w:rsidRDefault="00210433" w:rsidP="00210433">
      <w:pPr>
        <w:pStyle w:val="ConsPlusNonformat"/>
        <w:jc w:val="both"/>
      </w:pPr>
      <w:r>
        <w:t>адрес регистрации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преимущественного</w:t>
      </w:r>
    </w:p>
    <w:p w:rsidR="00210433" w:rsidRDefault="00210433" w:rsidP="00210433">
      <w:pPr>
        <w:pStyle w:val="ConsPlusNonformat"/>
        <w:jc w:val="both"/>
      </w:pPr>
      <w:r>
        <w:t>пребывания       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 xml:space="preserve">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почты (если имеется):</w:t>
      </w:r>
    </w:p>
    <w:p w:rsidR="00210433" w:rsidRDefault="00210433" w:rsidP="00210433">
      <w:pPr>
        <w:pStyle w:val="ConsPlusNonformat"/>
        <w:jc w:val="both"/>
      </w:pPr>
      <w:r>
        <w:t>Реквизиты документа, ______ серия, _________ номер удостоверяющего личность</w:t>
      </w:r>
    </w:p>
    <w:p w:rsidR="00210433" w:rsidRDefault="00210433" w:rsidP="00210433">
      <w:pPr>
        <w:pStyle w:val="ConsPlusNonformat"/>
        <w:jc w:val="both"/>
      </w:pPr>
      <w:r>
        <w:t>заявителя:       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(паспорт) дата выдачи ________________ код подразделения _______</w:t>
      </w:r>
    </w:p>
    <w:p w:rsidR="00210433" w:rsidRDefault="00210433" w:rsidP="00210433">
      <w:pPr>
        <w:pStyle w:val="ConsPlusNonformat"/>
        <w:jc w:val="both"/>
      </w:pPr>
      <w:r>
        <w:t>Телефон ____________________</w:t>
      </w:r>
    </w:p>
    <w:p w:rsidR="00210433" w:rsidRDefault="00210433" w:rsidP="00210433">
      <w:pPr>
        <w:pStyle w:val="ConsPlusNonformat"/>
        <w:jc w:val="both"/>
      </w:pPr>
      <w:r>
        <w:t>Для юридических лиц:</w:t>
      </w:r>
    </w:p>
    <w:p w:rsidR="00210433" w:rsidRDefault="00210433" w:rsidP="00210433">
      <w:pPr>
        <w:pStyle w:val="ConsPlusNonformat"/>
        <w:jc w:val="both"/>
      </w:pPr>
      <w:r>
        <w:t>Место нахождения заявителя: ___________________________________</w:t>
      </w:r>
    </w:p>
    <w:p w:rsidR="00210433" w:rsidRDefault="00210433" w:rsidP="00210433">
      <w:pPr>
        <w:pStyle w:val="ConsPlusNonformat"/>
        <w:jc w:val="both"/>
      </w:pPr>
      <w:r>
        <w:t>Государственный регистрационный номер записи о государственной  регистрации</w:t>
      </w:r>
    </w:p>
    <w:p w:rsidR="00210433" w:rsidRDefault="00210433" w:rsidP="00210433">
      <w:pPr>
        <w:pStyle w:val="ConsPlusNonformat"/>
        <w:jc w:val="both"/>
      </w:pPr>
      <w:r>
        <w:lastRenderedPageBreak/>
        <w:t>юридического лица в ЕГРЮЛ, в ЕГРИП: _______________________________________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Почтовый адрес </w:t>
      </w:r>
      <w:proofErr w:type="gramStart"/>
      <w:r>
        <w:t>и(</w:t>
      </w:r>
      <w:proofErr w:type="gramEnd"/>
      <w:r>
        <w:t>или) адрес</w:t>
      </w:r>
    </w:p>
    <w:p w:rsidR="00210433" w:rsidRDefault="00210433" w:rsidP="00210433">
      <w:pPr>
        <w:pStyle w:val="ConsPlusNonformat"/>
        <w:jc w:val="both"/>
      </w:pPr>
      <w:r>
        <w:t>электронной почты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Телефон _____________________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Прошу предварительно согласовать предоставление земельного участка</w:t>
      </w:r>
    </w:p>
    <w:p w:rsidR="00210433" w:rsidRDefault="00210433" w:rsidP="0021043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527"/>
      </w:tblGrid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 использования земельного участка</w:t>
            </w:r>
            <w:r>
              <w:rPr>
                <w:rStyle w:val="af"/>
                <w:rFonts w:ascii="Times New Roman" w:hAnsi="Times New Roman" w:cs="Times New Roman"/>
                <w:szCs w:val="22"/>
              </w:rPr>
              <w:footnoteReference w:id="1"/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Основание предоставления земельного участка: (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ст. 39.5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39.6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39.10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«в собственность, продажа» (п.2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строительства, созданию объектов туристской инфраструктуры и иному развитию территорий»;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информации о выявленных в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рамках государственного земельного надзора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жд в сл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учаях, предусмотренных пунктом 5 статьи 39.18 настоящего Кодекса;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11) земельных участков гражданам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tabs>
                <w:tab w:val="left" w:pos="1037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«в собственность, бесплатно» (ст. 39.5)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законом субъекта Российской Федерации;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Органами государственной власти субъектов Российской Федерации может быть предусмотрено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в собственность бесплатно;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9) земельного участка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11) земельного участка в соответствии с Федеральным законом от 24 июля 2008 года N 161-ФЗ «О содействии развитию жилищного строительства»;</w:t>
            </w: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«аренда»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недропользователю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партнерстве, лицу, с которым заключены указанные соглашения;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охотхозяйственное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соглашение;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29.1) земельного участка лицу, осуществляющему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товарную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аквакультуру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нарушениях законодательства Российской Федерации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34) земельного участка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35) земельного участка в соответствии с Федеральным законом от 24 июля 2008 года N 161-ФЗ «О содействии развитию жилищного строительства»;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Севастополя»;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«О государственной поддержке предпринимательской деятельности в Арктической зоне Российской Федерации»,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5) лицам, с которыми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10) гражданам и юридическим лицам для сельскохозяйственного,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охотхозяйственного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14) лицам, с которыми в соответствии с Федеральным законом от 29 декабря 2012 года N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16) лицу, право безвозмездного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17) лицу в случае и в порядке, которые предусмотрены Федеральным законом от 24 июля 2008 года N 161-ФЗ «О содействии развитию жилищного строительства»;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18)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ФЗ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Кадастровы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е) номер (номера) земельного участка: (из которого(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решения об утверждении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решения об изъятии земельного участка для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0433" w:rsidRDefault="00210433" w:rsidP="00210433">
      <w:pPr>
        <w:pStyle w:val="ConsPlusNormal"/>
        <w:ind w:firstLine="540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С утверждением иного варианта схемы расположения земельного участка </w:t>
      </w:r>
      <w:proofErr w:type="gramStart"/>
      <w:r>
        <w:t>согласен</w:t>
      </w:r>
      <w:proofErr w:type="gramEnd"/>
      <w:r>
        <w:t>.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Результат рассмотрения заявления прошу:</w:t>
      </w:r>
    </w:p>
    <w:p w:rsidR="00210433" w:rsidRDefault="00210433" w:rsidP="00210433">
      <w:pPr>
        <w:pStyle w:val="ConsPlusNonformat"/>
        <w:jc w:val="both"/>
      </w:pPr>
      <w:r>
        <w:t xml:space="preserve">    ┌────┐</w:t>
      </w:r>
    </w:p>
    <w:p w:rsidR="00210433" w:rsidRDefault="00210433" w:rsidP="00210433">
      <w:pPr>
        <w:pStyle w:val="ConsPlusNonformat"/>
        <w:jc w:val="both"/>
      </w:pPr>
      <w:r>
        <w:t xml:space="preserve">    ├────┤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выдать на руки в МФЦ, </w:t>
      </w:r>
      <w:proofErr w:type="gramStart"/>
      <w:r>
        <w:t>расположенном</w:t>
      </w:r>
      <w:proofErr w:type="gramEnd"/>
      <w:r>
        <w:t xml:space="preserve"> по адресу:_________________</w:t>
      </w:r>
    </w:p>
    <w:p w:rsidR="00210433" w:rsidRDefault="00210433" w:rsidP="00210433">
      <w:pPr>
        <w:pStyle w:val="ConsPlusNonformat"/>
        <w:jc w:val="both"/>
      </w:pPr>
      <w:r>
        <w:t xml:space="preserve">    ├────┤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по электронной почте (</w:t>
      </w:r>
      <w:proofErr w:type="spellStart"/>
      <w:r>
        <w:t>e-mail</w:t>
      </w:r>
      <w:proofErr w:type="spellEnd"/>
      <w:r>
        <w:t>)</w:t>
      </w:r>
    </w:p>
    <w:p w:rsidR="00210433" w:rsidRDefault="00210433" w:rsidP="00210433">
      <w:pPr>
        <w:pStyle w:val="ConsPlusNonformat"/>
        <w:jc w:val="both"/>
      </w:pPr>
      <w:r>
        <w:t xml:space="preserve">      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    направить в электронной форме в личный кабинет на ПГУ ЛО (при  технической реализации) /ЕПГУ</w:t>
      </w:r>
    </w:p>
    <w:p w:rsidR="00210433" w:rsidRDefault="00210433" w:rsidP="00210433">
      <w:pPr>
        <w:pStyle w:val="ConsPlusNonformat"/>
        <w:jc w:val="both"/>
      </w:pPr>
      <w:r>
        <w:t xml:space="preserve">    └────┘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Приложение: документы в соответствии с пунктом 2.6 настоящего Административного регламента.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>______________________________ _________________ 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(наименование должности)         (подпись)              (Ф.И.О.)»</w:t>
      </w:r>
    </w:p>
    <w:p w:rsidR="00E25C66" w:rsidRPr="003F1431" w:rsidRDefault="00E25C66" w:rsidP="00210433">
      <w:pPr>
        <w:widowControl w:val="0"/>
        <w:contextualSpacing/>
        <w:jc w:val="center"/>
        <w:rPr>
          <w:sz w:val="28"/>
          <w:szCs w:val="28"/>
        </w:rPr>
      </w:pPr>
    </w:p>
    <w:sectPr w:rsidR="00E25C66" w:rsidRPr="003F1431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CD6" w:rsidRDefault="00D47CD6" w:rsidP="001849F8">
      <w:r>
        <w:separator/>
      </w:r>
    </w:p>
  </w:endnote>
  <w:endnote w:type="continuationSeparator" w:id="0">
    <w:p w:rsidR="00D47CD6" w:rsidRDefault="00D47CD6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CD6" w:rsidRDefault="00D47CD6"/>
  </w:footnote>
  <w:footnote w:type="continuationSeparator" w:id="0">
    <w:p w:rsidR="00D47CD6" w:rsidRDefault="00D47CD6"/>
  </w:footnote>
  <w:footnote w:id="1">
    <w:p w:rsidR="00210433" w:rsidRDefault="00210433" w:rsidP="00210433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№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43ED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3FE0"/>
    <w:rsid w:val="001F6383"/>
    <w:rsid w:val="0021043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D55FD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3F1431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06FBE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C631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C5C64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47CD6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E3A58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2104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433"/>
    <w:rPr>
      <w:color w:val="000000"/>
    </w:rPr>
  </w:style>
  <w:style w:type="paragraph" w:customStyle="1" w:styleId="ConsPlusNormal">
    <w:name w:val="ConsPlusNormal"/>
    <w:rsid w:val="0021043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2104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210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13" Type="http://schemas.openxmlformats.org/officeDocument/2006/relationships/hyperlink" Target="consultantplus://offline/ref=E661085ED54F412FA5CA6470B032C1BB03930D660D43493D44858794BC2CR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3974</Words>
  <Characters>22652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26573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4</cp:revision>
  <cp:lastPrinted>2024-04-10T06:18:00Z</cp:lastPrinted>
  <dcterms:created xsi:type="dcterms:W3CDTF">2025-03-26T11:42:00Z</dcterms:created>
  <dcterms:modified xsi:type="dcterms:W3CDTF">2025-03-27T06:10:00Z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