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b/>
          <w:sz w:val="24"/>
          <w:szCs w:val="24"/>
        </w:rPr>
        <w:t>Лужское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83316" w:rsidRDefault="00783316" w:rsidP="003A6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93E2B">
        <w:rPr>
          <w:rFonts w:ascii="Times New Roman" w:hAnsi="Times New Roman" w:cs="Times New Roman"/>
          <w:sz w:val="24"/>
          <w:szCs w:val="24"/>
        </w:rPr>
        <w:t>07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3E2B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 расходов Комит</w:t>
      </w:r>
      <w:r>
        <w:rPr>
          <w:rFonts w:ascii="Times New Roman" w:hAnsi="Times New Roman" w:cs="Times New Roman"/>
          <w:sz w:val="24"/>
          <w:szCs w:val="24"/>
        </w:rPr>
        <w:t>етом экономического развития и инвестиционной деятельности</w:t>
      </w:r>
      <w:r w:rsidR="00F0044C">
        <w:rPr>
          <w:rFonts w:ascii="Times New Roman" w:hAnsi="Times New Roman" w:cs="Times New Roman"/>
          <w:sz w:val="24"/>
          <w:szCs w:val="24"/>
        </w:rPr>
        <w:t xml:space="preserve"> </w:t>
      </w:r>
      <w:r w:rsidR="00993E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3B5B">
        <w:rPr>
          <w:rFonts w:ascii="Times New Roman" w:hAnsi="Times New Roman" w:cs="Times New Roman"/>
          <w:sz w:val="24"/>
          <w:szCs w:val="24"/>
        </w:rPr>
        <w:t>4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="00993E2B"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6E3BAA">
        <w:rPr>
          <w:rFonts w:ascii="Times New Roman" w:hAnsi="Times New Roman" w:cs="Times New Roman"/>
          <w:sz w:val="24"/>
          <w:szCs w:val="24"/>
        </w:rPr>
        <w:t>0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F0044C" w:rsidRPr="00840FE4">
        <w:rPr>
          <w:rFonts w:ascii="Times New Roman" w:hAnsi="Times New Roman" w:cs="Times New Roman"/>
          <w:sz w:val="24"/>
          <w:szCs w:val="24"/>
        </w:rPr>
        <w:t>.</w:t>
      </w:r>
      <w:r w:rsidR="00993E2B" w:rsidRPr="00840FE4">
        <w:rPr>
          <w:rFonts w:ascii="Times New Roman" w:hAnsi="Times New Roman" w:cs="Times New Roman"/>
          <w:sz w:val="24"/>
          <w:szCs w:val="24"/>
        </w:rPr>
        <w:t>0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="00F0044C" w:rsidRPr="00840FE4">
        <w:rPr>
          <w:rFonts w:ascii="Times New Roman" w:hAnsi="Times New Roman" w:cs="Times New Roman"/>
          <w:sz w:val="24"/>
          <w:szCs w:val="24"/>
        </w:rPr>
        <w:t>.202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F0044C" w:rsidRPr="00840FE4">
        <w:rPr>
          <w:rFonts w:ascii="Times New Roman" w:hAnsi="Times New Roman" w:cs="Times New Roman"/>
          <w:sz w:val="24"/>
          <w:szCs w:val="24"/>
        </w:rPr>
        <w:t xml:space="preserve"> №</w:t>
      </w:r>
      <w:r w:rsidR="00993E2B" w:rsidRPr="00840FE4">
        <w:rPr>
          <w:rFonts w:ascii="Times New Roman" w:hAnsi="Times New Roman" w:cs="Times New Roman"/>
          <w:sz w:val="24"/>
          <w:szCs w:val="24"/>
        </w:rPr>
        <w:t>1</w:t>
      </w:r>
      <w:r w:rsidR="002E3B5B">
        <w:rPr>
          <w:rFonts w:ascii="Times New Roman" w:hAnsi="Times New Roman" w:cs="Times New Roman"/>
          <w:sz w:val="24"/>
          <w:szCs w:val="24"/>
        </w:rPr>
        <w:t>467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3B5B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2E3B5B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E70E7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>
        <w:rPr>
          <w:rFonts w:ascii="Times New Roman" w:hAnsi="Times New Roman" w:cs="Times New Roman"/>
          <w:sz w:val="24"/>
          <w:szCs w:val="24"/>
        </w:rPr>
        <w:t>26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5C229B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 №</w:t>
      </w:r>
      <w:r w:rsidR="005C22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3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B5B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2E3B5B">
        <w:rPr>
          <w:rFonts w:ascii="Times New Roman" w:hAnsi="Times New Roman" w:cs="Times New Roman"/>
          <w:sz w:val="24"/>
          <w:szCs w:val="24"/>
        </w:rPr>
        <w:t xml:space="preserve"> внесением изменений от 18.10.2022 №164) 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1C0B6E" w:rsidRDefault="001C0B6E" w:rsidP="003A6D7E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031F90" w:rsidRDefault="00031F90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90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031F90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031F90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031F9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031F90">
        <w:rPr>
          <w:rFonts w:ascii="Times New Roman" w:hAnsi="Times New Roman" w:cs="Times New Roman"/>
          <w:sz w:val="24"/>
          <w:szCs w:val="24"/>
        </w:rPr>
        <w:t xml:space="preserve"> муниципального района от 26.11.2019 №1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1F90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</w:t>
      </w:r>
      <w:proofErr w:type="spellStart"/>
      <w:r w:rsidRPr="00031F90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031F90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031F9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031F9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</w:t>
      </w:r>
      <w:r w:rsidRPr="00031F9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31F90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031F90">
        <w:rPr>
          <w:rFonts w:ascii="Times New Roman" w:hAnsi="Times New Roman" w:cs="Times New Roman"/>
          <w:sz w:val="24"/>
          <w:szCs w:val="24"/>
        </w:rPr>
        <w:t xml:space="preserve"> внесением изменений от 18.10.2022 №164)  установлены следующие налоговые льготы:</w:t>
      </w:r>
    </w:p>
    <w:p w:rsidR="002E3B5B" w:rsidRPr="002E3B5B" w:rsidRDefault="002E3B5B" w:rsidP="003A6D7E">
      <w:pPr>
        <w:pStyle w:val="a4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3B5B">
        <w:rPr>
          <w:rFonts w:ascii="Times New Roman" w:hAnsi="Times New Roman" w:cs="Times New Roman"/>
          <w:sz w:val="24"/>
          <w:szCs w:val="24"/>
        </w:rPr>
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</w:r>
      <w:r w:rsidR="00B92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762" w:rsidRDefault="00507762" w:rsidP="003A6D7E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6E3BAA">
        <w:rPr>
          <w:rFonts w:ascii="Times New Roman" w:hAnsi="Times New Roman" w:cs="Times New Roman"/>
          <w:sz w:val="24"/>
          <w:szCs w:val="24"/>
        </w:rPr>
        <w:t>2</w:t>
      </w:r>
      <w:r w:rsidR="005D2A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5D2A96">
        <w:rPr>
          <w:rFonts w:ascii="Times New Roman" w:hAnsi="Times New Roman" w:cs="Times New Roman"/>
          <w:sz w:val="24"/>
          <w:szCs w:val="24"/>
        </w:rPr>
        <w:t>14</w:t>
      </w:r>
      <w:r w:rsidR="006C3F72">
        <w:rPr>
          <w:rFonts w:ascii="Times New Roman" w:hAnsi="Times New Roman" w:cs="Times New Roman"/>
          <w:sz w:val="24"/>
          <w:szCs w:val="24"/>
        </w:rPr>
        <w:t>,0 тысяч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D7E" w:rsidRDefault="003A6D7E" w:rsidP="003A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D7E" w:rsidRPr="003A6D7E" w:rsidRDefault="003A6D7E" w:rsidP="003A6D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налоговых расходов</w:t>
      </w:r>
    </w:p>
    <w:p w:rsidR="003A6D7E" w:rsidRDefault="003A6D7E" w:rsidP="003A6D7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6C3F72" w:rsidRPr="002E3B5B" w:rsidRDefault="006C3F72" w:rsidP="002E3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B96B0E" w:rsidRPr="00B96B0E" w:rsidRDefault="006C3F72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="00EC040E"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CE6DEF">
        <w:trPr>
          <w:trHeight w:val="3099"/>
        </w:trPr>
        <w:tc>
          <w:tcPr>
            <w:tcW w:w="2150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577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социально-экономического развития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2E3B5B" w:rsidRPr="00B96B0E" w:rsidTr="00031F90">
        <w:trPr>
          <w:trHeight w:val="2781"/>
        </w:trPr>
        <w:tc>
          <w:tcPr>
            <w:tcW w:w="2150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5B" w:rsidRP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577" w:type="dxa"/>
          </w:tcPr>
          <w:p w:rsidR="00031F90" w:rsidRDefault="00031F90" w:rsidP="00F0044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2E3B5B" w:rsidRP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Объекты налогообложения, включенные в перечень, определяемый в соответствии с </w:t>
            </w:r>
            <w:hyperlink r:id="rId5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val="ru" w:eastAsia="ru-RU"/>
                </w:rPr>
                <w:t>пунктом 7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Налогового кодекса РФ, в отношении объектов налогообложения, предусмотренных </w:t>
            </w:r>
            <w:hyperlink r:id="rId6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val="ru" w:eastAsia="ru-RU"/>
                </w:rPr>
                <w:t>абзацем вторым пункта 10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21" w:type="dxa"/>
          </w:tcPr>
          <w:p w:rsid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5B" w:rsidRP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социально-экономического развития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031F90" w:rsidRDefault="00031F90" w:rsidP="00031F90">
            <w:pPr>
              <w:jc w:val="both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zh-TW"/>
              </w:rPr>
            </w:pPr>
          </w:p>
          <w:p w:rsidR="002E3B5B" w:rsidRPr="00031F90" w:rsidRDefault="00031F90" w:rsidP="00031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90"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zh-TW"/>
              </w:rPr>
              <w:t>Лужский</w:t>
            </w:r>
            <w:proofErr w:type="spellEnd"/>
            <w:r w:rsidRPr="00031F90"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zh-TW"/>
              </w:rPr>
              <w:t xml:space="preserve"> район – благоприятная бизнес-среда</w:t>
            </w:r>
            <w:r w:rsidRPr="00031F90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  <w:r w:rsidR="00F83BE3">
              <w:rPr>
                <w:rFonts w:ascii="Times New Roman" w:hAnsi="Times New Roman" w:cs="Times New Roman"/>
                <w:b/>
              </w:rPr>
              <w:t xml:space="preserve"> граждан, 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5D2A96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83BE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5D2A96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31F90" w:rsidRPr="00EC040E" w:rsidTr="00FF5B3D">
        <w:tc>
          <w:tcPr>
            <w:tcW w:w="3403" w:type="dxa"/>
          </w:tcPr>
          <w:p w:rsid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F90" w:rsidRP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31F90" w:rsidRDefault="00031F90" w:rsidP="00EF783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031F90" w:rsidRPr="00031F90" w:rsidRDefault="00031F90" w:rsidP="00EF7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val="ru" w:eastAsia="ru-RU"/>
                </w:rPr>
                <w:t>пунктом 7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031F90">
                <w:rPr>
                  <w:rFonts w:ascii="Times New Roman" w:eastAsia="Arial Unicode MS" w:hAnsi="Times New Roman" w:cs="Times New Roman"/>
                  <w:sz w:val="20"/>
                  <w:szCs w:val="20"/>
                  <w:lang w:val="ru" w:eastAsia="ru-RU"/>
                </w:rPr>
                <w:t>абзацем вторым пункта 10 статьи 378.2</w:t>
              </w:r>
            </w:hyperlink>
            <w:r w:rsidRPr="00031F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40" w:type="dxa"/>
            <w:shd w:val="clear" w:color="auto" w:fill="auto"/>
          </w:tcPr>
          <w:p w:rsidR="00031F90" w:rsidRDefault="00031F90" w:rsidP="00FF5B3D">
            <w:pPr>
              <w:jc w:val="center"/>
              <w:rPr>
                <w:rFonts w:ascii="Times New Roman" w:hAnsi="Times New Roman" w:cs="Times New Roman"/>
              </w:rPr>
            </w:pPr>
          </w:p>
          <w:p w:rsidR="00F83BE3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2205" w:type="dxa"/>
            <w:shd w:val="clear" w:color="auto" w:fill="auto"/>
          </w:tcPr>
          <w:p w:rsidR="00F83BE3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</w:p>
          <w:p w:rsidR="00031F90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83BE3" w:rsidRDefault="00F83BE3" w:rsidP="00F83BE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83BE3">
        <w:rPr>
          <w:rFonts w:ascii="Times New Roman" w:hAnsi="Times New Roman" w:cs="Times New Roman"/>
          <w:sz w:val="24"/>
          <w:szCs w:val="24"/>
        </w:rPr>
        <w:t xml:space="preserve">Количество граждан, получивших земельные участки на территории </w:t>
      </w:r>
      <w:proofErr w:type="spellStart"/>
      <w:r w:rsidRPr="00F83BE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83BE3">
        <w:rPr>
          <w:rFonts w:ascii="Times New Roman" w:hAnsi="Times New Roman" w:cs="Times New Roman"/>
          <w:sz w:val="24"/>
          <w:szCs w:val="24"/>
        </w:rPr>
        <w:t xml:space="preserve"> городского поселения предоставленных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3A6D7E" w:rsidRPr="003A6D7E" w:rsidRDefault="003A6D7E" w:rsidP="00F83BE3">
      <w:pPr>
        <w:pStyle w:val="a4"/>
        <w:ind w:left="0"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EC040E" w:rsidRDefault="00EC040E" w:rsidP="006C3F7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3A6D7E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Pr="003A6D7E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7A4CAC" w:rsidRPr="007A4CAC" w:rsidRDefault="007A4CAC" w:rsidP="003A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Pr="003A6D7E" w:rsidRDefault="00861AA0" w:rsidP="003A6D7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031F90" w:rsidRPr="003A6D7E" w:rsidRDefault="00031F9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854AA4" w:rsidRDefault="0061628F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3A6D7E" w:rsidRPr="003A6D7E" w:rsidRDefault="003A6D7E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032731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032731">
        <w:rPr>
          <w:rFonts w:ascii="Times New Roman" w:hAnsi="Times New Roman" w:cs="Times New Roman"/>
          <w:sz w:val="24"/>
          <w:szCs w:val="24"/>
        </w:rPr>
        <w:t>.</w:t>
      </w:r>
    </w:p>
    <w:p w:rsidR="00032731" w:rsidRDefault="00032731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оценки востребова</w:t>
      </w:r>
      <w:r w:rsidR="00B928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предоставленных льгот,</w:t>
      </w:r>
      <w:r w:rsidR="00A7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B92835" w:rsidRPr="00B92835" w:rsidRDefault="00B92835" w:rsidP="00B9283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835">
        <w:rPr>
          <w:rFonts w:ascii="Times New Roman" w:hAnsi="Times New Roman" w:cs="Times New Roman"/>
          <w:sz w:val="24"/>
          <w:szCs w:val="24"/>
        </w:rPr>
        <w:t xml:space="preserve">налоговая льгота в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</w:t>
      </w:r>
      <w:r w:rsidRPr="00B92835">
        <w:rPr>
          <w:rFonts w:ascii="Times New Roman" w:hAnsi="Times New Roman" w:cs="Times New Roman"/>
          <w:sz w:val="24"/>
          <w:szCs w:val="24"/>
        </w:rPr>
        <w:lastRenderedPageBreak/>
        <w:t>2008 г. № 105-оз и от 17 июля 2018 г. № 75-оз, находящегося в собственности налогоплательщика (членов многодетной семьи) является востребова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2835">
        <w:rPr>
          <w:rFonts w:ascii="Times New Roman" w:hAnsi="Times New Roman" w:cs="Times New Roman"/>
          <w:sz w:val="24"/>
          <w:szCs w:val="24"/>
        </w:rPr>
        <w:t>ной</w:t>
      </w:r>
      <w:r w:rsidR="007773B8">
        <w:rPr>
          <w:rFonts w:ascii="Times New Roman" w:hAnsi="Times New Roman" w:cs="Times New Roman"/>
          <w:sz w:val="24"/>
          <w:szCs w:val="24"/>
        </w:rPr>
        <w:t xml:space="preserve"> и целесообразной</w:t>
      </w:r>
      <w:r w:rsidRPr="00B92835">
        <w:rPr>
          <w:rFonts w:ascii="Times New Roman" w:hAnsi="Times New Roman" w:cs="Times New Roman"/>
          <w:sz w:val="24"/>
          <w:szCs w:val="24"/>
        </w:rPr>
        <w:t>.</w:t>
      </w:r>
    </w:p>
    <w:p w:rsidR="00B92835" w:rsidRPr="00B92835" w:rsidRDefault="00B92835" w:rsidP="00B9283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льгота на имущество физических лиц по объектам налогообложения, включенных</w:t>
      </w:r>
      <w:r w:rsidRPr="002E3B5B">
        <w:rPr>
          <w:rFonts w:ascii="Times New Roman" w:hAnsi="Times New Roman" w:cs="Times New Roman"/>
          <w:sz w:val="24"/>
          <w:szCs w:val="24"/>
        </w:rPr>
        <w:t xml:space="preserve">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</w:r>
      <w:r w:rsidR="007773B8">
        <w:rPr>
          <w:rFonts w:ascii="Times New Roman" w:hAnsi="Times New Roman" w:cs="Times New Roman"/>
          <w:sz w:val="24"/>
          <w:szCs w:val="24"/>
        </w:rPr>
        <w:t xml:space="preserve"> в текущем году не востребована, целесообразна.</w:t>
      </w:r>
    </w:p>
    <w:p w:rsidR="00B92835" w:rsidRDefault="00B92835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3A6D7E" w:rsidP="0077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773B8"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>
        <w:rPr>
          <w:rFonts w:ascii="Times New Roman" w:hAnsi="Times New Roman" w:cs="Times New Roman"/>
          <w:sz w:val="24"/>
          <w:szCs w:val="24"/>
        </w:rPr>
        <w:t xml:space="preserve">налоговые льготы за период 2023 года являются </w:t>
      </w:r>
      <w:r w:rsidR="00CB54AC">
        <w:rPr>
          <w:rFonts w:ascii="Times New Roman" w:hAnsi="Times New Roman" w:cs="Times New Roman"/>
          <w:sz w:val="24"/>
          <w:szCs w:val="24"/>
        </w:rPr>
        <w:t>эффективными и подлежат сохранению и применению в</w:t>
      </w:r>
      <w:r w:rsidR="005E79F0">
        <w:rPr>
          <w:rFonts w:ascii="Times New Roman" w:hAnsi="Times New Roman" w:cs="Times New Roman"/>
          <w:sz w:val="24"/>
          <w:szCs w:val="24"/>
        </w:rPr>
        <w:t xml:space="preserve"> текущем и плановом периоде.</w:t>
      </w:r>
      <w:r w:rsidR="00CB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6E11"/>
    <w:multiLevelType w:val="hybridMultilevel"/>
    <w:tmpl w:val="42AE74A2"/>
    <w:lvl w:ilvl="0" w:tplc="EEF81EAE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AD2F8F"/>
    <w:multiLevelType w:val="hybridMultilevel"/>
    <w:tmpl w:val="38C2F0D0"/>
    <w:lvl w:ilvl="0" w:tplc="6EDA1ACA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F8267FD"/>
    <w:multiLevelType w:val="hybridMultilevel"/>
    <w:tmpl w:val="78584A72"/>
    <w:lvl w:ilvl="0" w:tplc="36BC27F6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15EDF"/>
    <w:multiLevelType w:val="hybridMultilevel"/>
    <w:tmpl w:val="8A264510"/>
    <w:lvl w:ilvl="0" w:tplc="056EAC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31F90"/>
    <w:rsid w:val="00032731"/>
    <w:rsid w:val="000640A5"/>
    <w:rsid w:val="00161DC8"/>
    <w:rsid w:val="001A6C45"/>
    <w:rsid w:val="001B3A9B"/>
    <w:rsid w:val="001C0B6E"/>
    <w:rsid w:val="002720F7"/>
    <w:rsid w:val="002B5D9A"/>
    <w:rsid w:val="002E3B5B"/>
    <w:rsid w:val="00321A46"/>
    <w:rsid w:val="003A6D7E"/>
    <w:rsid w:val="00485FEA"/>
    <w:rsid w:val="004C7D6E"/>
    <w:rsid w:val="004E03E2"/>
    <w:rsid w:val="004F37B8"/>
    <w:rsid w:val="00507762"/>
    <w:rsid w:val="0053139F"/>
    <w:rsid w:val="00555DCF"/>
    <w:rsid w:val="00563370"/>
    <w:rsid w:val="005811C1"/>
    <w:rsid w:val="005C229B"/>
    <w:rsid w:val="005C6ECB"/>
    <w:rsid w:val="005D2A96"/>
    <w:rsid w:val="005E79F0"/>
    <w:rsid w:val="005F659F"/>
    <w:rsid w:val="0061628F"/>
    <w:rsid w:val="0064108E"/>
    <w:rsid w:val="006C3F72"/>
    <w:rsid w:val="006E3BAA"/>
    <w:rsid w:val="007006B4"/>
    <w:rsid w:val="00766D9F"/>
    <w:rsid w:val="007773B8"/>
    <w:rsid w:val="00783316"/>
    <w:rsid w:val="007A4CAC"/>
    <w:rsid w:val="00840FE4"/>
    <w:rsid w:val="00854AA4"/>
    <w:rsid w:val="00861AA0"/>
    <w:rsid w:val="00896EC3"/>
    <w:rsid w:val="009350CD"/>
    <w:rsid w:val="00993E2B"/>
    <w:rsid w:val="00A704CB"/>
    <w:rsid w:val="00AF5CA0"/>
    <w:rsid w:val="00B82FF7"/>
    <w:rsid w:val="00B92835"/>
    <w:rsid w:val="00B96B0E"/>
    <w:rsid w:val="00C97425"/>
    <w:rsid w:val="00C97A03"/>
    <w:rsid w:val="00CB54AC"/>
    <w:rsid w:val="00CE6DEF"/>
    <w:rsid w:val="00E60E89"/>
    <w:rsid w:val="00E70E76"/>
    <w:rsid w:val="00EB1B36"/>
    <w:rsid w:val="00EC040E"/>
    <w:rsid w:val="00F0044C"/>
    <w:rsid w:val="00F51018"/>
    <w:rsid w:val="00F55B31"/>
    <w:rsid w:val="00F83BE3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483B-324E-4657-B2A4-BA101D2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E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Федотова Ю.П.</cp:lastModifiedBy>
  <cp:revision>3</cp:revision>
  <cp:lastPrinted>2025-01-27T07:47:00Z</cp:lastPrinted>
  <dcterms:created xsi:type="dcterms:W3CDTF">2025-01-27T07:46:00Z</dcterms:created>
  <dcterms:modified xsi:type="dcterms:W3CDTF">2025-01-27T07:56:00Z</dcterms:modified>
</cp:coreProperties>
</file>